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0446C51B" w:rsidR="005271D9" w:rsidRPr="00762076" w:rsidRDefault="002D0616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20.10.2022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390B1295" w:rsidR="005271D9" w:rsidRPr="00762076" w:rsidRDefault="002D0616" w:rsidP="002D0616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66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F669AD">
        <w:trPr>
          <w:trHeight w:hRule="exact" w:val="2897"/>
        </w:trPr>
        <w:tc>
          <w:tcPr>
            <w:tcW w:w="9356" w:type="dxa"/>
            <w:gridSpan w:val="3"/>
          </w:tcPr>
          <w:p w14:paraId="7697183A" w14:textId="77777777" w:rsidR="009B5F6B" w:rsidRPr="009C3A1D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C3A1D">
              <w:rPr>
                <w:rFonts w:ascii="Times New Roman" w:eastAsia="Calibri" w:hAnsi="Times New Roman" w:cs="Times New Roman"/>
                <w:sz w:val="28"/>
              </w:rPr>
              <w:t xml:space="preserve">О проведении публичных слушаний по проекту </w:t>
            </w:r>
          </w:p>
          <w:p w14:paraId="1D895305" w14:textId="77777777" w:rsidR="009B5F6B" w:rsidRPr="009C3A1D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C3A1D">
              <w:rPr>
                <w:rFonts w:ascii="Times New Roman" w:eastAsia="Calibri" w:hAnsi="Times New Roman" w:cs="Times New Roman"/>
                <w:sz w:val="28"/>
              </w:rPr>
              <w:t>постановления администрации города Благовещенска</w:t>
            </w:r>
          </w:p>
          <w:p w14:paraId="16131C1C" w14:textId="77777777" w:rsidR="00F669AD" w:rsidRPr="009C3A1D" w:rsidRDefault="009B5F6B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9C3A1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«</w:t>
            </w:r>
            <w:r w:rsidR="00F669AD" w:rsidRPr="009C3A1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О предоставлении разрешения на отклонение </w:t>
            </w:r>
          </w:p>
          <w:p w14:paraId="389D2EBC" w14:textId="24A87E6C" w:rsidR="009B5F6B" w:rsidRDefault="00F669AD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9C3A1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от предельных параметров разрешённого строительства объекта капитального строительства для земельного участка с кадастровым номером </w:t>
            </w:r>
            <w:r w:rsidR="009C3A1D" w:rsidRPr="009C3A1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28:01:210353:52</w:t>
            </w:r>
            <w:r w:rsidRPr="009C3A1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, расположенного                    в квартале </w:t>
            </w:r>
            <w:r w:rsidR="009C3A1D" w:rsidRPr="009C3A1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35</w:t>
            </w:r>
            <w:r w:rsidR="009E4556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1</w:t>
            </w:r>
            <w:r w:rsidRPr="009C3A1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города Благовещенска</w:t>
            </w:r>
            <w:r w:rsidR="009B5F6B" w:rsidRPr="009C3A1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»</w:t>
            </w:r>
          </w:p>
          <w:p w14:paraId="49E2E7D7" w14:textId="77777777" w:rsidR="002A7733" w:rsidRPr="00E673AD" w:rsidRDefault="002A7733" w:rsidP="00EB2527">
            <w:pPr>
              <w:ind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0E4F0E2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9F9D669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0A3387C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2A7733" w:rsidRPr="00E673AD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00AF9DDC" w14:textId="413A2A72" w:rsidR="00F669AD" w:rsidRPr="00AC1E5F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AC1E5F">
              <w:rPr>
                <w:rFonts w:ascii="Times New Roman" w:eastAsia="Calibri" w:hAnsi="Times New Roman" w:cs="Times New Roman"/>
                <w:sz w:val="28"/>
              </w:rPr>
              <w:t xml:space="preserve">Рассмотрев заявление </w:t>
            </w:r>
            <w:r w:rsidR="00AC1E5F" w:rsidRPr="00AC1E5F">
              <w:rPr>
                <w:rFonts w:ascii="Times New Roman" w:eastAsia="Calibri" w:hAnsi="Times New Roman" w:cs="Times New Roman"/>
                <w:sz w:val="28"/>
              </w:rPr>
              <w:t>Драганер Кристины Леонидовны, действующей в интересах общества с ограниченной ответственностью «Феникс» по доверенности от 03.08.2022 № 28 АА 1314398 (</w:t>
            </w:r>
            <w:proofErr w:type="spellStart"/>
            <w:r w:rsidR="00AC1E5F" w:rsidRPr="00AC1E5F">
              <w:rPr>
                <w:rFonts w:ascii="Times New Roman" w:eastAsia="Calibri" w:hAnsi="Times New Roman" w:cs="Times New Roman"/>
                <w:sz w:val="28"/>
              </w:rPr>
              <w:t>вх</w:t>
            </w:r>
            <w:proofErr w:type="spellEnd"/>
            <w:r w:rsidR="00AC1E5F" w:rsidRPr="00AC1E5F">
              <w:rPr>
                <w:rFonts w:ascii="Times New Roman" w:eastAsia="Calibri" w:hAnsi="Times New Roman" w:cs="Times New Roman"/>
                <w:sz w:val="28"/>
              </w:rPr>
              <w:t>. 7056з от 05.10.2022)</w:t>
            </w:r>
            <w:r w:rsidRPr="00AC1E5F">
              <w:rPr>
                <w:rFonts w:ascii="Times New Roman" w:eastAsia="Calibri" w:hAnsi="Times New Roman" w:cs="Times New Roman"/>
                <w:sz w:val="28"/>
              </w:rPr>
              <w:t xml:space="preserve">, в соответствии со статьей 40 Градостроительного кодекса Российской Федерации, Правилами землепользования и застройки муниципального образования города Благовещенска, утверждёнными постановлением администрации города Благовещенска от 14.01.2022 № 149, 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утверждённым решением Благовещенской городской Думы от 14.06.2018 </w:t>
            </w:r>
            <w:r w:rsidR="00375384" w:rsidRPr="00AC1E5F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AC1E5F">
              <w:rPr>
                <w:rFonts w:ascii="Times New Roman" w:eastAsia="Calibri" w:hAnsi="Times New Roman" w:cs="Times New Roman"/>
                <w:sz w:val="28"/>
              </w:rPr>
              <w:t>№ 46/56,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</w:t>
            </w:r>
          </w:p>
          <w:p w14:paraId="6C47B106" w14:textId="77777777" w:rsidR="00F669AD" w:rsidRPr="00AC1E5F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 w:rsidRPr="00AC1E5F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AC1E5F"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155F248D" w14:textId="07A9BE66" w:rsidR="00F669AD" w:rsidRPr="00752758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752758">
              <w:rPr>
                <w:rFonts w:ascii="Times New Roman" w:eastAsia="Calibri" w:hAnsi="Times New Roman" w:cs="Times New Roman"/>
                <w:sz w:val="28"/>
              </w:rPr>
              <w:t xml:space="preserve">1. </w:t>
            </w:r>
            <w:proofErr w:type="gramStart"/>
            <w:r w:rsidRPr="00752758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Провести с </w:t>
            </w:r>
            <w:r w:rsidR="00002D0D" w:rsidRPr="00752758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21 октября</w:t>
            </w:r>
            <w:r w:rsidRPr="00752758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2022 года по </w:t>
            </w:r>
            <w:r w:rsidR="0072651F" w:rsidRPr="00752758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18</w:t>
            </w:r>
            <w:r w:rsidRPr="00752758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="0072651F" w:rsidRPr="00752758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ноября</w:t>
            </w:r>
            <w:r w:rsidRPr="00752758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2022 года публичные слушания по проекту постановления администрации города Благовещенска                               «О предоставлении разрешения на отклонение от предельных параметров разрешённого строительства объекта капитального строительства для земельного участка с кадастровым номером </w:t>
            </w:r>
            <w:r w:rsidR="00752758" w:rsidRPr="00752758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28:01:210353:52</w:t>
            </w:r>
            <w:r w:rsidRPr="00752758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, расположенного в квартале </w:t>
            </w:r>
            <w:r w:rsidR="00752758" w:rsidRPr="00752758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35</w:t>
            </w:r>
            <w:r w:rsidR="005800C2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1</w:t>
            </w:r>
            <w:r w:rsidRPr="00752758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города Благовещенска» </w:t>
            </w:r>
            <w:r w:rsidRPr="00752758">
              <w:rPr>
                <w:rFonts w:ascii="Times New Roman" w:eastAsia="Calibri" w:hAnsi="Times New Roman" w:cs="Times New Roman"/>
                <w:sz w:val="28"/>
              </w:rPr>
              <w:t>(приложение к настоящему постановлению).</w:t>
            </w:r>
            <w:proofErr w:type="gramEnd"/>
          </w:p>
          <w:p w14:paraId="7E09ED7E" w14:textId="77777777" w:rsidR="00F669AD" w:rsidRPr="00972D50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  <w:highlight w:val="yellow"/>
              </w:rPr>
            </w:pPr>
            <w:r w:rsidRPr="005239D9">
              <w:rPr>
                <w:rFonts w:ascii="Times New Roman" w:eastAsia="Calibri" w:hAnsi="Times New Roman" w:cs="Times New Roman"/>
                <w:sz w:val="28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14:paraId="5DE8E46C" w14:textId="1768333C" w:rsidR="00F669AD" w:rsidRPr="005239D9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5239D9">
              <w:rPr>
                <w:rFonts w:ascii="Times New Roman" w:eastAsia="Calibri" w:hAnsi="Times New Roman" w:cs="Times New Roman"/>
                <w:sz w:val="28"/>
              </w:rPr>
              <w:t xml:space="preserve">3. Собрание участников публичных слушаний провести </w:t>
            </w:r>
            <w:r w:rsidR="009B2D8D" w:rsidRPr="005239D9">
              <w:rPr>
                <w:rFonts w:ascii="Times New Roman" w:eastAsia="Calibri" w:hAnsi="Times New Roman" w:cs="Times New Roman"/>
                <w:sz w:val="28"/>
              </w:rPr>
              <w:t>10 ноября</w:t>
            </w:r>
            <w:r w:rsidRPr="005239D9">
              <w:rPr>
                <w:rFonts w:ascii="Times New Roman" w:eastAsia="Calibri" w:hAnsi="Times New Roman" w:cs="Times New Roman"/>
                <w:sz w:val="28"/>
              </w:rPr>
              <w:t xml:space="preserve"> 2022 года в 17.00 в административном здании по адресу: г. Благовещенск,                        ул. Ленина, д. 108/2, зал заседаний (2 этаж).</w:t>
            </w:r>
          </w:p>
          <w:p w14:paraId="4A8FE192" w14:textId="77777777" w:rsidR="00F669AD" w:rsidRPr="005239D9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5239D9">
              <w:rPr>
                <w:rFonts w:ascii="Times New Roman" w:eastAsia="Calibri" w:hAnsi="Times New Roman" w:cs="Times New Roman"/>
                <w:sz w:val="28"/>
              </w:rPr>
              <w:lastRenderedPageBreak/>
      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      </w:r>
          </w:p>
          <w:p w14:paraId="0CCD6BD1" w14:textId="0606237C" w:rsidR="00F669AD" w:rsidRPr="005239D9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5239D9">
              <w:rPr>
                <w:rFonts w:ascii="Times New Roman" w:eastAsia="Calibri" w:hAnsi="Times New Roman" w:cs="Times New Roman"/>
                <w:sz w:val="28"/>
              </w:rPr>
              <w:t xml:space="preserve">1) настоящего постановления (с приложением) и оповещения о начале публичных слушаний – </w:t>
            </w:r>
            <w:r w:rsidR="009B2D8D" w:rsidRPr="005239D9">
              <w:rPr>
                <w:rFonts w:ascii="Times New Roman" w:eastAsia="Calibri" w:hAnsi="Times New Roman" w:cs="Times New Roman"/>
                <w:sz w:val="28"/>
              </w:rPr>
              <w:t>21 октября</w:t>
            </w:r>
            <w:r w:rsidRPr="005239D9">
              <w:rPr>
                <w:rFonts w:ascii="Times New Roman" w:eastAsia="Calibri" w:hAnsi="Times New Roman" w:cs="Times New Roman"/>
                <w:sz w:val="28"/>
              </w:rPr>
              <w:t xml:space="preserve"> 2022 года;</w:t>
            </w:r>
          </w:p>
          <w:p w14:paraId="3FADF93B" w14:textId="79B9CAA4" w:rsidR="00F669AD" w:rsidRPr="005239D9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5239D9">
              <w:rPr>
                <w:rFonts w:ascii="Times New Roman" w:eastAsia="Calibri" w:hAnsi="Times New Roman" w:cs="Times New Roman"/>
                <w:sz w:val="28"/>
              </w:rPr>
              <w:t xml:space="preserve">2) заключения о результатах публичных слушаний – </w:t>
            </w:r>
            <w:r w:rsidR="009B2D8D" w:rsidRPr="005239D9">
              <w:rPr>
                <w:rFonts w:ascii="Times New Roman" w:eastAsia="Calibri" w:hAnsi="Times New Roman" w:cs="Times New Roman"/>
                <w:sz w:val="28"/>
              </w:rPr>
              <w:t>18 ноября</w:t>
            </w:r>
            <w:r w:rsidRPr="005239D9">
              <w:rPr>
                <w:rFonts w:ascii="Times New Roman" w:eastAsia="Calibri" w:hAnsi="Times New Roman" w:cs="Times New Roman"/>
                <w:sz w:val="28"/>
              </w:rPr>
              <w:t xml:space="preserve"> 2022 года.</w:t>
            </w:r>
          </w:p>
          <w:p w14:paraId="103F3124" w14:textId="7F00C743" w:rsidR="00F669AD" w:rsidRPr="005239D9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5239D9">
              <w:rPr>
                <w:rFonts w:ascii="Times New Roman" w:eastAsia="Calibri" w:hAnsi="Times New Roman" w:cs="Times New Roman"/>
                <w:sz w:val="28"/>
              </w:rPr>
              <w:t xml:space="preserve"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</w:t>
            </w:r>
            <w:r w:rsidR="009B2D8D" w:rsidRPr="005239D9">
              <w:rPr>
                <w:rFonts w:ascii="Times New Roman" w:eastAsia="Calibri" w:hAnsi="Times New Roman" w:cs="Times New Roman"/>
                <w:sz w:val="28"/>
              </w:rPr>
              <w:t>17 ноября</w:t>
            </w:r>
            <w:r w:rsidRPr="005239D9">
              <w:rPr>
                <w:rFonts w:ascii="Times New Roman" w:eastAsia="Calibri" w:hAnsi="Times New Roman" w:cs="Times New Roman"/>
                <w:sz w:val="28"/>
              </w:rPr>
              <w:t xml:space="preserve"> 2022 года.</w:t>
            </w:r>
          </w:p>
          <w:p w14:paraId="634CEA59" w14:textId="77777777" w:rsidR="00F669AD" w:rsidRPr="005239D9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5239D9">
              <w:rPr>
                <w:rFonts w:ascii="Times New Roman" w:eastAsia="Calibri" w:hAnsi="Times New Roman" w:cs="Times New Roman"/>
                <w:sz w:val="28"/>
              </w:rPr>
      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      </w:r>
            <w:r w:rsidRPr="005239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 w:rsidRPr="005239D9">
              <w:rPr>
                <w:rFonts w:ascii="Times New Roman" w:eastAsia="Calibri" w:hAnsi="Times New Roman" w:cs="Times New Roman"/>
                <w:sz w:val="28"/>
              </w:rPr>
              <w:t>настоящего постановления, оповещения о начале публичных слушаний, информационных материалов к рассматриваемому проекту, а также заключения о результатах публичных слушаний.</w:t>
            </w:r>
          </w:p>
          <w:p w14:paraId="18C741FC" w14:textId="77777777" w:rsidR="00F669AD" w:rsidRPr="005239D9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5239D9">
              <w:rPr>
                <w:rFonts w:ascii="Times New Roman" w:eastAsia="Calibri" w:hAnsi="Times New Roman" w:cs="Times New Roman"/>
                <w:sz w:val="28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                 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14:paraId="2F3B185F" w14:textId="77777777" w:rsidR="00F669AD" w:rsidRPr="005239D9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5239D9">
              <w:rPr>
                <w:rFonts w:ascii="Times New Roman" w:eastAsia="Calibri" w:hAnsi="Times New Roman" w:cs="Times New Roman"/>
                <w:sz w:val="28"/>
              </w:rPr>
              <w:t>8. Настоящее постановление вступает в силу со дня официального опубликования в газете «Благовещенск» и</w:t>
            </w:r>
            <w:r w:rsidRPr="005239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239D9">
              <w:rPr>
                <w:rFonts w:ascii="Times New Roman" w:eastAsia="Calibri" w:hAnsi="Times New Roman" w:cs="Times New Roman"/>
                <w:sz w:val="28"/>
              </w:rPr>
              <w:t xml:space="preserve">подлежит размещению                                 в официальном сетевом издании </w:t>
            </w:r>
            <w:proofErr w:type="spellStart"/>
            <w:r w:rsidRPr="005239D9">
              <w:rPr>
                <w:rFonts w:ascii="Times New Roman" w:eastAsia="Calibri" w:hAnsi="Times New Roman" w:cs="Times New Roman"/>
                <w:sz w:val="28"/>
                <w:lang w:val="en-US"/>
              </w:rPr>
              <w:t>npa</w:t>
            </w:r>
            <w:proofErr w:type="spellEnd"/>
            <w:r w:rsidRPr="005239D9">
              <w:rPr>
                <w:rFonts w:ascii="Times New Roman" w:eastAsia="Calibri" w:hAnsi="Times New Roman" w:cs="Times New Roman"/>
                <w:sz w:val="28"/>
              </w:rPr>
              <w:t>.</w:t>
            </w:r>
            <w:proofErr w:type="spellStart"/>
            <w:r w:rsidRPr="005239D9">
              <w:rPr>
                <w:rFonts w:ascii="Times New Roman" w:eastAsia="Calibri" w:hAnsi="Times New Roman" w:cs="Times New Roman"/>
                <w:sz w:val="28"/>
                <w:lang w:val="en-US"/>
              </w:rPr>
              <w:t>admblag</w:t>
            </w:r>
            <w:proofErr w:type="spellEnd"/>
            <w:r w:rsidRPr="005239D9">
              <w:rPr>
                <w:rFonts w:ascii="Times New Roman" w:eastAsia="Calibri" w:hAnsi="Times New Roman" w:cs="Times New Roman"/>
                <w:sz w:val="28"/>
              </w:rPr>
              <w:t>.</w:t>
            </w:r>
            <w:proofErr w:type="spellStart"/>
            <w:r w:rsidRPr="005239D9">
              <w:rPr>
                <w:rFonts w:ascii="Times New Roman" w:eastAsia="Calibri" w:hAnsi="Times New Roman" w:cs="Times New Roman"/>
                <w:sz w:val="28"/>
                <w:lang w:val="en-US"/>
              </w:rPr>
              <w:t>ru</w:t>
            </w:r>
            <w:proofErr w:type="spellEnd"/>
            <w:r w:rsidRPr="005239D9">
              <w:rPr>
                <w:rFonts w:ascii="Times New Roman" w:eastAsia="Calibri" w:hAnsi="Times New Roman" w:cs="Times New Roman"/>
                <w:sz w:val="28"/>
              </w:rPr>
              <w:t>.</w:t>
            </w:r>
          </w:p>
          <w:p w14:paraId="39EB40B8" w14:textId="136DB13F" w:rsidR="00650815" w:rsidRPr="00F669AD" w:rsidRDefault="00F669AD" w:rsidP="00F669AD">
            <w:pPr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239D9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9. </w:t>
            </w:r>
            <w:proofErr w:type="gramStart"/>
            <w:r w:rsidRPr="005239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5239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14:paraId="7513D055" w14:textId="455C3F51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2D0616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6C6D8BE2" w:rsidR="002D0616" w:rsidRPr="002763B7" w:rsidRDefault="002D0616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22F9F605" w:rsidR="002D0616" w:rsidRPr="002763B7" w:rsidRDefault="002D0616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6A5FF149" w:rsidR="00440D91" w:rsidRPr="00440D91" w:rsidRDefault="00440D91" w:rsidP="002D061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9ED5D6" w14:textId="77777777" w:rsidR="004E34CE" w:rsidRDefault="004E34CE" w:rsidP="002747B1">
      <w:pPr>
        <w:spacing w:after="0" w:line="240" w:lineRule="auto"/>
      </w:pPr>
      <w:r>
        <w:separator/>
      </w:r>
    </w:p>
  </w:endnote>
  <w:endnote w:type="continuationSeparator" w:id="0">
    <w:p w14:paraId="0FA9EE3C" w14:textId="77777777" w:rsidR="004E34CE" w:rsidRDefault="004E34CE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0ACB99" w14:textId="77777777" w:rsidR="004E34CE" w:rsidRDefault="004E34CE" w:rsidP="002747B1">
      <w:pPr>
        <w:spacing w:after="0" w:line="240" w:lineRule="auto"/>
      </w:pPr>
      <w:r>
        <w:separator/>
      </w:r>
    </w:p>
  </w:footnote>
  <w:footnote w:type="continuationSeparator" w:id="0">
    <w:p w14:paraId="7F8F6D7F" w14:textId="77777777" w:rsidR="004E34CE" w:rsidRDefault="004E34CE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616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2D0D"/>
    <w:rsid w:val="00020988"/>
    <w:rsid w:val="00034F5B"/>
    <w:rsid w:val="000360CE"/>
    <w:rsid w:val="00036742"/>
    <w:rsid w:val="00107C33"/>
    <w:rsid w:val="00163940"/>
    <w:rsid w:val="001D52EF"/>
    <w:rsid w:val="001F2F29"/>
    <w:rsid w:val="00223324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0616"/>
    <w:rsid w:val="002D16C6"/>
    <w:rsid w:val="00335536"/>
    <w:rsid w:val="003414B9"/>
    <w:rsid w:val="003447F6"/>
    <w:rsid w:val="00372789"/>
    <w:rsid w:val="00375384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9BD"/>
    <w:rsid w:val="004A0BC3"/>
    <w:rsid w:val="004E07E2"/>
    <w:rsid w:val="004E34CE"/>
    <w:rsid w:val="00517F02"/>
    <w:rsid w:val="005239D9"/>
    <w:rsid w:val="00523E2A"/>
    <w:rsid w:val="0052484E"/>
    <w:rsid w:val="005271D9"/>
    <w:rsid w:val="00530F74"/>
    <w:rsid w:val="00564ED0"/>
    <w:rsid w:val="005800C2"/>
    <w:rsid w:val="00624012"/>
    <w:rsid w:val="00626C33"/>
    <w:rsid w:val="00650815"/>
    <w:rsid w:val="0065348E"/>
    <w:rsid w:val="006671EE"/>
    <w:rsid w:val="00687A63"/>
    <w:rsid w:val="006B614F"/>
    <w:rsid w:val="006C5D56"/>
    <w:rsid w:val="006C7A89"/>
    <w:rsid w:val="006D6F5D"/>
    <w:rsid w:val="00716CE0"/>
    <w:rsid w:val="0072651F"/>
    <w:rsid w:val="00752758"/>
    <w:rsid w:val="00762076"/>
    <w:rsid w:val="007811BD"/>
    <w:rsid w:val="007C1D5C"/>
    <w:rsid w:val="007F1DF6"/>
    <w:rsid w:val="00801BAF"/>
    <w:rsid w:val="00847EFD"/>
    <w:rsid w:val="00884C0C"/>
    <w:rsid w:val="00892A3A"/>
    <w:rsid w:val="00894B43"/>
    <w:rsid w:val="008B1860"/>
    <w:rsid w:val="00903A4E"/>
    <w:rsid w:val="00944A00"/>
    <w:rsid w:val="00972D50"/>
    <w:rsid w:val="009B2D8D"/>
    <w:rsid w:val="009B5F6B"/>
    <w:rsid w:val="009C3A1D"/>
    <w:rsid w:val="009C53D3"/>
    <w:rsid w:val="009E4556"/>
    <w:rsid w:val="00A0674A"/>
    <w:rsid w:val="00A12F1B"/>
    <w:rsid w:val="00A217A0"/>
    <w:rsid w:val="00A96E78"/>
    <w:rsid w:val="00AC1E5F"/>
    <w:rsid w:val="00AC378A"/>
    <w:rsid w:val="00AD6CE4"/>
    <w:rsid w:val="00AF657E"/>
    <w:rsid w:val="00B21DFE"/>
    <w:rsid w:val="00B35B7D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B66E7"/>
    <w:rsid w:val="00CE4C32"/>
    <w:rsid w:val="00D050C7"/>
    <w:rsid w:val="00D11634"/>
    <w:rsid w:val="00D35724"/>
    <w:rsid w:val="00D53B24"/>
    <w:rsid w:val="00D54BEC"/>
    <w:rsid w:val="00D76C96"/>
    <w:rsid w:val="00DC77BC"/>
    <w:rsid w:val="00E0733C"/>
    <w:rsid w:val="00E1635D"/>
    <w:rsid w:val="00E329AC"/>
    <w:rsid w:val="00E360F5"/>
    <w:rsid w:val="00E673AD"/>
    <w:rsid w:val="00EB2527"/>
    <w:rsid w:val="00EB3F2F"/>
    <w:rsid w:val="00EC4320"/>
    <w:rsid w:val="00ED2F84"/>
    <w:rsid w:val="00EE6B36"/>
    <w:rsid w:val="00F5547E"/>
    <w:rsid w:val="00F669AD"/>
    <w:rsid w:val="00FB2B7F"/>
    <w:rsid w:val="00FC465C"/>
    <w:rsid w:val="00FC6C0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84</cp:revision>
  <cp:lastPrinted>2022-07-13T03:00:00Z</cp:lastPrinted>
  <dcterms:created xsi:type="dcterms:W3CDTF">2019-11-06T05:49:00Z</dcterms:created>
  <dcterms:modified xsi:type="dcterms:W3CDTF">2022-10-20T04:37:00Z</dcterms:modified>
</cp:coreProperties>
</file>