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10489"/>
      </w:tblGrid>
      <w:tr w:rsidR="00995791">
        <w:tc>
          <w:tcPr>
            <w:tcW w:w="104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791" w:rsidRDefault="000C678F">
            <w:pPr>
              <w:jc w:val="center"/>
            </w:pP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Соглашение</w:t>
            </w:r>
          </w:p>
          <w:p w:rsidR="00995791" w:rsidRDefault="000C678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предоставлении иного межбюджетного трансферта из областного бюджета</w:t>
            </w:r>
          </w:p>
          <w:p w:rsidR="00995791" w:rsidRDefault="000C678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бюджету муниципального образования </w:t>
            </w:r>
          </w:p>
          <w:p w:rsidR="00995791" w:rsidRDefault="00995791"/>
          <w:p w:rsidR="00995791" w:rsidRDefault="000C678F"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г. Благовещенск                                       </w:t>
            </w:r>
            <w:r>
              <w:rPr>
                <w:color w:val="0000FF"/>
                <w:sz w:val="28"/>
                <w:szCs w:val="28"/>
              </w:rPr>
              <w:t>                                          </w:t>
            </w:r>
            <w:r>
              <w:rPr>
                <w:color w:val="000000"/>
                <w:sz w:val="28"/>
                <w:szCs w:val="28"/>
              </w:rPr>
              <w:t>№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                                                                                               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 Министерство социальной защиты населения Амурской области, которому как получателю средств областного бюджета доведены лимиты бюджетных обязательств на предос</w:t>
            </w:r>
            <w:r>
              <w:rPr>
                <w:color w:val="000000"/>
                <w:sz w:val="28"/>
                <w:szCs w:val="28"/>
              </w:rPr>
              <w:t>тавление иного межбюджетного трансферта, имеющего целевое назначение, бюджетам муниципальных образований, именуемое в дальнейшем «Министерство», в лице министра  Киселёвой Натальи Викторовны, действующего (ей) на основании положения о министерстве социальн</w:t>
            </w:r>
            <w:r>
              <w:rPr>
                <w:color w:val="000000"/>
                <w:sz w:val="28"/>
                <w:szCs w:val="28"/>
              </w:rPr>
              <w:t>ой защиты населения Амурской области, утвержденного постановлением Губернатора Амурской области от 03.08.2007 № 459, и распоряжения Губернатора Амурской области от 26.09.2023 № 699-лс  с одной стороны, и управление жилищно-коммунального хозяйства администр</w:t>
            </w:r>
            <w:r>
              <w:rPr>
                <w:color w:val="000000"/>
                <w:sz w:val="28"/>
                <w:szCs w:val="28"/>
              </w:rPr>
              <w:t>ации города Благовещенска, именуемое в дальнейшем «Муниципальное образование», в лице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, действующего(ей) на основании  с другой стороны, далее при совместном упоминании именуемые «Стороны», в соответствии с Бюджетным кодексом Российской Федерации, Законом </w:t>
            </w:r>
            <w:r>
              <w:rPr>
                <w:color w:val="000000"/>
                <w:sz w:val="28"/>
                <w:szCs w:val="28"/>
              </w:rPr>
              <w:t>Амурской области от 10.12.2025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 № 580-ОЗ </w:t>
            </w:r>
            <w:r>
              <w:rPr>
                <w:color w:val="000000"/>
                <w:sz w:val="28"/>
                <w:szCs w:val="28"/>
              </w:rPr>
              <w:t xml:space="preserve"> «Об областном бюджете на 2025 год и плановый период 2026 и 2027 годов»,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Правилами предоставления иных межбюджетных трансфертов бюджетам муниципальных районов и городских (муниципальных) округов образований Амурской </w:t>
            </w:r>
            <w:r>
              <w:rPr>
                <w:color w:val="000000"/>
                <w:spacing w:val="7"/>
                <w:sz w:val="28"/>
                <w:szCs w:val="28"/>
              </w:rPr>
              <w:t>области на ремонт жилых помещений ветеранов Великой Отечественной войны в 2025 году, утвержденными постановлением Правительства Амурской области от 14.02.2025 №105 (далее - Правила предоставления иных межбюджетных трансфертов), постановлением Правительства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Амурской области от 06.03.2025 №149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pacing w:val="7"/>
                <w:sz w:val="28"/>
                <w:szCs w:val="28"/>
              </w:rPr>
              <w:t>О распределении иных межбюджетных трансфертов бюджетам муниципальных районов и городских (муниципальных) округов образований Амурской области на ремонт жилых помещений ветеранов Великой Отечественной войны в 2025 году</w:t>
            </w:r>
            <w:r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pacing w:val="7"/>
                <w:sz w:val="28"/>
                <w:szCs w:val="28"/>
              </w:rPr>
              <w:t>,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з</w:t>
            </w:r>
            <w:r>
              <w:rPr>
                <w:color w:val="000000"/>
                <w:sz w:val="28"/>
                <w:szCs w:val="28"/>
              </w:rPr>
              <w:t>аключили настоящее Соглашение о нижеследующем.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I. Предмет соглашения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1.1. Предметом настоящего Соглашения является предоставление из областного бюджета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2025 году бюджету города Благовещенска иного межбюджетного трансферта на Ремонт жилых помещений</w:t>
            </w:r>
            <w:r>
              <w:rPr>
                <w:color w:val="000000"/>
                <w:sz w:val="28"/>
                <w:szCs w:val="28"/>
              </w:rPr>
              <w:t xml:space="preserve"> ветеранов Великой Отечественной войны (далее – Иной межбюджетный трансферт), в соответствии с лимитами бюджетных обязательств, доведенными Министерству как получателю средств областного бюджета по кодам классификации расходов областного бюджета (далее - к</w:t>
            </w:r>
            <w:r>
              <w:rPr>
                <w:color w:val="000000"/>
                <w:sz w:val="28"/>
                <w:szCs w:val="28"/>
              </w:rPr>
              <w:t>оды БК) : код главного распорядителя средств областного бюджета  915  «министерство социальной защиты населения Амурской области», раздел 10  «Социальная политика», подраздел 03 «Социальное обеспечение населения», целевая статья 0220380270 «Ремонт жилых по</w:t>
            </w:r>
            <w:r>
              <w:rPr>
                <w:color w:val="000000"/>
                <w:sz w:val="28"/>
                <w:szCs w:val="28"/>
              </w:rPr>
              <w:t>мещений ветеранов Великой Отечественной войны», вид расходов 540  «Иные межбюджетные трансферты» в рамках проекта Амурской области «Реализация отдельных полномочий Амурской области по социальной поддержке граждан» государственной программы Амурской области</w:t>
            </w:r>
            <w:r>
              <w:rPr>
                <w:color w:val="000000"/>
                <w:sz w:val="28"/>
                <w:szCs w:val="28"/>
              </w:rPr>
              <w:t>  «Государственная программа "Развитие системы социальной защиты населения Амурской области"». </w:t>
            </w:r>
          </w:p>
          <w:p w:rsidR="00995791" w:rsidRDefault="000C678F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1.2. Иной межбюджетный трансферт предоставляется в соответствии с приложением № 1 к настоящему Соглашению, являющимся его неотъемлемой частью, в целях софинанси</w:t>
            </w:r>
            <w:r>
              <w:rPr>
                <w:color w:val="000000"/>
                <w:sz w:val="28"/>
                <w:szCs w:val="28"/>
              </w:rPr>
              <w:t>рования расходных обязательств муниципального образования, в том числе возникающих при осуществлении капитальных вложений а объекты муниципальной собственности и (или) объекты недвижимого имущества, приобретаемые в муниципальную собственность.</w:t>
            </w:r>
          </w:p>
          <w:p w:rsidR="00995791" w:rsidRDefault="000C678F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1.3. Расходн</w:t>
            </w:r>
            <w:r>
              <w:rPr>
                <w:color w:val="000000"/>
                <w:sz w:val="28"/>
                <w:szCs w:val="28"/>
              </w:rPr>
              <w:t>ые обязательства муниципального образования, в целях софинансирования которых предоставляется Иной межбюджетный трансферт установлены постановлением Правительства Амурской области «О распределении иных межбюджетных трансфертов бюджетам муниципальных районо</w:t>
            </w:r>
            <w:r>
              <w:rPr>
                <w:color w:val="000000"/>
                <w:sz w:val="28"/>
                <w:szCs w:val="28"/>
              </w:rPr>
              <w:t>в и городских (муниципальных) округов Амурской области на ремонт жилых помещений ветеранов Великой Отечественной войны в 2025 году от 06.03.2025 №149;»</w:t>
            </w:r>
            <w:r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II. Финансовое обеспечение расходных обязательств, на исполнение которых предоставляется Иной межбюдж</w:t>
            </w:r>
            <w:r>
              <w:rPr>
                <w:color w:val="000000"/>
                <w:sz w:val="24"/>
                <w:szCs w:val="24"/>
              </w:rPr>
              <w:t>етный трансферт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2.1. Общий объем бюджетных ассигнований, предусматриваемых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 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 на исполнение которых предоставляется Иной межбюджетный трансферт, составляет: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2025 году </w:t>
            </w:r>
            <w:r>
              <w:rPr>
                <w:color w:val="000000"/>
                <w:sz w:val="28"/>
                <w:szCs w:val="28"/>
              </w:rPr>
              <w:t>7 800 000 (Семь миллионов восемьсот тысяч)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2.2. Общий размер Иного межбюджетного трансферта, предоставляемого из областного бюджета бюджету города Благовещенска</w:t>
            </w:r>
            <w:r>
              <w:rPr>
                <w:color w:val="000000"/>
                <w:sz w:val="24"/>
                <w:szCs w:val="24"/>
              </w:rPr>
              <w:t>   </w:t>
            </w:r>
            <w:r>
              <w:rPr>
                <w:color w:val="000000"/>
                <w:sz w:val="28"/>
                <w:szCs w:val="28"/>
              </w:rPr>
              <w:t>в соответствии с настоящим Соглашением составляет: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2025 году не более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7 800 000 (Семь миллионов восемьсот тысяч) рублей 00 копеек . 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III. Порядок, условия предоставления и сроки перечисления Иного межбюджетного трансферта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3.1. Иной межбюджетный трансферт предоставляется в пределах бюджетных ассигнований, предусмотренных </w:t>
            </w:r>
            <w:r>
              <w:rPr>
                <w:color w:val="000000"/>
                <w:sz w:val="28"/>
                <w:szCs w:val="28"/>
              </w:rPr>
              <w:t>в законе об областном бюджете (сводной бюджетной росписи областного бюджета) на 2025 финансовый год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и плановый период 2026 и</w:t>
            </w:r>
            <w:r>
              <w:rPr>
                <w:color w:val="0000FF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2027</w:t>
            </w:r>
            <w:r>
              <w:rPr>
                <w:color w:val="008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годов</w:t>
            </w:r>
            <w:r>
              <w:rPr>
                <w:color w:val="008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, и лимитов бюджетных обязательств, доведенных Министерству как получателю средств областного бюджета на финансовый год.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Иной межбюджетный трансферт предоставляется при наличии следующих условий: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а) наличие в бюджете (сводной бюджетной росписи) муниципального образования бюджетных ассигнований на финансовое обеспечение расходных обязательств, в целях софинансирования </w:t>
            </w:r>
            <w:r>
              <w:rPr>
                <w:color w:val="000000"/>
                <w:sz w:val="28"/>
                <w:szCs w:val="28"/>
              </w:rPr>
              <w:t>которых предоставляется Иной межбюджетный трансферт;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б) проживания граждан в жилых помещениях,  расположенных на территории Муниципального образования и требующих проведения ремонтных работ.</w:t>
            </w:r>
          </w:p>
          <w:p w:rsidR="00995791" w:rsidRDefault="000C678F">
            <w:pPr>
              <w:jc w:val="both"/>
            </w:pPr>
            <w:r>
              <w:rPr>
                <w:color w:val="000000"/>
                <w:sz w:val="24"/>
                <w:szCs w:val="24"/>
              </w:rPr>
              <w:t>   </w:t>
            </w:r>
            <w:r>
              <w:rPr>
                <w:color w:val="000000"/>
                <w:sz w:val="28"/>
                <w:szCs w:val="28"/>
              </w:rPr>
              <w:t>3.3. Перечисление Иного межбюджетного трансферта из областног</w:t>
            </w:r>
            <w:r>
              <w:rPr>
                <w:color w:val="000000"/>
                <w:sz w:val="28"/>
                <w:szCs w:val="28"/>
              </w:rPr>
              <w:t>о бюджета в бюджет города Благовещенска</w:t>
            </w:r>
            <w:r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8"/>
                <w:szCs w:val="28"/>
              </w:rPr>
              <w:t>осуществляется на единый счет бюджета города Благовещенска, открытый финансовому органу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бюджета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в территориальном органе Федерального казначейства. </w:t>
            </w:r>
          </w:p>
          <w:p w:rsidR="00995791" w:rsidRDefault="000C678F">
            <w:pPr>
              <w:jc w:val="both"/>
            </w:pPr>
            <w:r>
              <w:rPr>
                <w:color w:val="000000"/>
                <w:sz w:val="28"/>
                <w:szCs w:val="28"/>
              </w:rPr>
              <w:t>      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3.4. Перечисление Иного межбюджетного</w:t>
            </w:r>
            <w:r>
              <w:rPr>
                <w:color w:val="000000"/>
                <w:sz w:val="28"/>
                <w:szCs w:val="28"/>
              </w:rPr>
              <w:t xml:space="preserve"> трансферта из областного бюджета осуществляется Федеральным казначейством не позднее 2-го рабочего дня, следующего за днем представления в Управление федерального казначейства по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Амурской области в установленном федеральном казначействе порядке платежных </w:t>
            </w:r>
            <w:r>
              <w:rPr>
                <w:color w:val="000000"/>
                <w:sz w:val="28"/>
                <w:szCs w:val="28"/>
              </w:rPr>
              <w:t>документов, связанных с исполнением расходных обязательств Муниципального образования, в целях софинансирования которых предоставляется Иной межбюджетный трансферт, представленных финансовым органом Муниципального образования.</w:t>
            </w:r>
          </w:p>
          <w:p w:rsidR="00995791" w:rsidRDefault="000C678F">
            <w:pPr>
              <w:jc w:val="both"/>
            </w:pPr>
            <w:r>
              <w:rPr>
                <w:color w:val="000000"/>
                <w:sz w:val="24"/>
                <w:szCs w:val="24"/>
              </w:rPr>
              <w:t>         </w:t>
            </w:r>
            <w:r>
              <w:rPr>
                <w:color w:val="000000"/>
                <w:sz w:val="28"/>
                <w:szCs w:val="28"/>
              </w:rPr>
              <w:t>3.5. Перечисление ме</w:t>
            </w:r>
            <w:r>
              <w:rPr>
                <w:color w:val="000000"/>
                <w:sz w:val="28"/>
                <w:szCs w:val="28"/>
              </w:rPr>
              <w:t>жбюджетного трансферта из областного бюджета местному бюджету осуществляется при условии осуществления территориальным органом Федерального казначейства операций по перечислению соответствующего межбюджетного трансферта из областного бюджета в местный бюдж</w:t>
            </w:r>
            <w:r>
              <w:rPr>
                <w:color w:val="000000"/>
                <w:sz w:val="28"/>
                <w:szCs w:val="28"/>
              </w:rPr>
              <w:t>ет в пределах суммы, необходимой для оплаты денежных обязательств получателя средств местного бюджета, соответствующих целям предоставления Иного межбюджетного трансферта, в доле, соответствующей уровню софинансирования расходного обязательства Муниципальн</w:t>
            </w:r>
            <w:r>
              <w:rPr>
                <w:color w:val="000000"/>
                <w:sz w:val="28"/>
                <w:szCs w:val="28"/>
              </w:rPr>
              <w:t>ого образования, установленному настоящим Соглашением, при оплате денежных обязательств получателя средств местного бюджета, соответствующих целям предоставления Иного межбюджетного трансферта.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IV. Взаимодействие Сторон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 Министерство обязуется: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4.1.1. Обеспечить предоставление Иного межбюджетного трансферта 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в порядке и при соблюдении Муниципальным образованием условий предоставления Иного межбюджетного трансферта, установленных настоящим Соглашением, в пределах лимито</w:t>
            </w:r>
            <w:r>
              <w:rPr>
                <w:color w:val="000000"/>
                <w:sz w:val="28"/>
                <w:szCs w:val="28"/>
              </w:rPr>
              <w:t>в бюджетных обязательств 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2025</w:t>
            </w:r>
            <w:r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8"/>
                <w:szCs w:val="28"/>
              </w:rPr>
              <w:t>финансовый год, доведенных Министерству как получателю средств областного бюджета.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4.1.2. Осуществлять контроль за соблюдением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Муниципальным образованием условий предоставления Иного межбюджетного трансферта и других обяза</w:t>
            </w:r>
            <w:r>
              <w:rPr>
                <w:color w:val="000000"/>
                <w:sz w:val="28"/>
                <w:szCs w:val="28"/>
              </w:rPr>
              <w:t>тельств, предусмотренных настоящим Соглашением.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4.1.3.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Осуществлять оценку результатов Иного межбюджетного трансферта,  с  учетом  обязательств  по  достижению  значений  результатов предоставления Иного межбюджетного трансферта, установленных в соответств</w:t>
            </w:r>
            <w:r>
              <w:rPr>
                <w:color w:val="000000"/>
                <w:sz w:val="28"/>
                <w:szCs w:val="28"/>
              </w:rPr>
              <w:t>ии с  пунктом  4.3.3  настоящего  Соглашения,  на основании данных отчетности, представленной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Муниципальным образованием.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4.1.4. В случае приостановления предоставления Иного межбюджетного трансферта информировать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Муниципальное образование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 о причинах таког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 приостановления.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4.1.5. Направлять разъяснения Муниципальному образованию по вопросам, связанным с исполнением настоящего Соглашения, в течение 20 рабочих дней со дня получения обращения Муниципального образования.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4.1.6. </w:t>
            </w:r>
            <w:r>
              <w:rPr>
                <w:color w:val="000000"/>
                <w:sz w:val="28"/>
                <w:szCs w:val="28"/>
              </w:rPr>
              <w:t>Выполнять иные обязательства, установленные бюджетным законодательством Российской Федерации, Правилами предоставления иных межбюджетных трансфертов и настоящим Соглашением: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4.1.6.1. 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 случае если Муниципальным образованием по состоянию на 31 декабря года</w:t>
            </w:r>
            <w:r>
              <w:rPr>
                <w:color w:val="000000"/>
                <w:sz w:val="28"/>
                <w:szCs w:val="28"/>
              </w:rPr>
              <w:t xml:space="preserve"> предоставления Иного межбюджетного трансферта допущены нарушения обязательств, предусмотренных пунктом 4.3.3 настоящего Соглашения, и в срок до  первой даты предоставления отчета о достижении значения результата предоставления Иных межбюджетных трансферто</w:t>
            </w:r>
            <w:r>
              <w:rPr>
                <w:color w:val="000000"/>
                <w:sz w:val="28"/>
                <w:szCs w:val="28"/>
              </w:rPr>
              <w:t xml:space="preserve">в, указанные нарушения не </w:t>
            </w:r>
            <w:r>
              <w:rPr>
                <w:color w:val="000000"/>
                <w:sz w:val="28"/>
                <w:szCs w:val="28"/>
              </w:rPr>
              <w:lastRenderedPageBreak/>
              <w:t>устранены, рассчитать объем средств, подлежащий возврату из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бюджета города Благовещенска</w:t>
            </w:r>
            <w:r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8"/>
                <w:szCs w:val="28"/>
              </w:rPr>
              <w:t>в областной бюджет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 соответствии с Правилами предоставления иных межбюджетных трансфертов, и направить Муниципальному образованию требован</w:t>
            </w:r>
            <w:r>
              <w:rPr>
                <w:color w:val="000000"/>
                <w:sz w:val="28"/>
                <w:szCs w:val="28"/>
              </w:rPr>
              <w:t>ие о возврате средств Иного межбюджетного трансферта в областной бюджет в указанном объеме в срок до 1 мая года, следующего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за годом предоставления Иного межбюджетного трансферта.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4.1.6.2. Осуществлять контроль за выполнением Муниципальным образованием обя</w:t>
            </w:r>
            <w:r>
              <w:rPr>
                <w:color w:val="000000"/>
                <w:sz w:val="28"/>
                <w:szCs w:val="28"/>
              </w:rPr>
              <w:t>зательств, предусмотренных настоящим Соглашением, в том числе за осуществлением расходов, источником финансового обеспечения которых является Иной межбюджетный трансферт, путем проверки отчетов, указанных в пункте 4.3.4.1 настоящего Соглашения.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 Минист</w:t>
            </w:r>
            <w:r>
              <w:rPr>
                <w:color w:val="000000"/>
                <w:sz w:val="28"/>
                <w:szCs w:val="28"/>
              </w:rPr>
              <w:t>ерство вправе: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4.2.1. Запрашивать 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 документы и материалы, необходимые для осуществления контроля за соблюдением Муниципальным образованием условий предоставления Иного межбюджетного трансферта и других обязательств, предусмотрен</w:t>
            </w:r>
            <w:r>
              <w:rPr>
                <w:color w:val="000000"/>
                <w:sz w:val="28"/>
                <w:szCs w:val="28"/>
              </w:rPr>
              <w:t>ных Соглашением, в том числе данные бухгалтерского учета и первичную документацию, связанные с исполнением Муниципалитетом условий Иного межбюджетного трансферта.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4.2.2. Осуществлять иные права, установленные бюджетным законодательством Российской Федераци</w:t>
            </w:r>
            <w:r>
              <w:rPr>
                <w:color w:val="000000"/>
                <w:sz w:val="28"/>
                <w:szCs w:val="28"/>
              </w:rPr>
              <w:t xml:space="preserve">и, Правилами предоставления иных межбюджетных трансфертов и настоящим Соглашением, в том числе при необходимости осуществлять выездные проверочные мероприятия в целях контроля за осуществлением расходов, источником финансового обеспечения которых является </w:t>
            </w:r>
            <w:r>
              <w:rPr>
                <w:color w:val="000000"/>
                <w:sz w:val="28"/>
                <w:szCs w:val="28"/>
              </w:rPr>
              <w:t>Иной межбюджетный трансферт.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 Муниципальное образование обязуется: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4.3.1. Обеспечивать выполнение условий предоставления Иного межбюджетного трансферта, установленных пунктом 3.2 настоящего Соглашения.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4.3.2. Обеспечивать исполнение требований Министер</w:t>
            </w:r>
            <w:r>
              <w:rPr>
                <w:color w:val="000000"/>
                <w:sz w:val="28"/>
                <w:szCs w:val="28"/>
              </w:rPr>
              <w:t>ства по возврату средств в областной бюджет, если Правилами предоставления иных межбюджетных трансфертов предусматриваются положения о возврате средств в областной бюджет за нарушение обязательств по достижению значений показателей результативности расходо</w:t>
            </w:r>
            <w:r>
              <w:rPr>
                <w:color w:val="000000"/>
                <w:sz w:val="28"/>
                <w:szCs w:val="28"/>
              </w:rPr>
              <w:t>в бюджета муниципального образования, в целях финансового обеспечения которых предоставляется Иной межбюджетный трансферт (достижение результатов предоставления Иного межбюджетного трансферта).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4.3.3.</w:t>
            </w:r>
            <w:r>
              <w:rPr>
                <w:color w:val="000000"/>
                <w:sz w:val="28"/>
                <w:szCs w:val="28"/>
              </w:rPr>
              <w:t xml:space="preserve"> Обеспечивать достижение значений результатов предоставл</w:t>
            </w:r>
            <w:r>
              <w:rPr>
                <w:color w:val="000000"/>
                <w:sz w:val="28"/>
                <w:szCs w:val="28"/>
              </w:rPr>
              <w:t>ения Иного межбюджетного трансферта, установленных в соответствии с Приложением № 2 к настоящему Соглашению, являющимся его неотъемлемой частью.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4.3.4. Обеспечивать представление в Министерство в форме электронного документа в государственной интегрированн</w:t>
            </w:r>
            <w:r>
              <w:rPr>
                <w:color w:val="000000"/>
                <w:sz w:val="28"/>
                <w:szCs w:val="28"/>
              </w:rPr>
              <w:t>ой информационной системе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«АЦК-Планирование» ежемесячных отчетов о: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4.3.4.1. расходах бюджета города Благовещенска, в целях финансового обеспечения которых предоставляется Иной межбюджетный трансферт, по форме согласно приложению № 3 к настоящему Соглашен</w:t>
            </w:r>
            <w:r>
              <w:rPr>
                <w:color w:val="000000"/>
                <w:sz w:val="28"/>
                <w:szCs w:val="28"/>
              </w:rPr>
              <w:t>ию, являющемуся его неотъемлемой частью, не позднее 10 числа месяца, следующего за отчетным месяцем, в котором был получен Иной межбюджетный трансферт;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4.3.4.2. достижении значений результатов предоставления Иного межбюджетного трансферта, по форме согласн</w:t>
            </w:r>
            <w:r>
              <w:rPr>
                <w:color w:val="000000"/>
                <w:sz w:val="28"/>
                <w:szCs w:val="28"/>
              </w:rPr>
              <w:t>о приложению № 4 к настоящему Соглашению, являющемуся его неотъемлемой частью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не позднее 10 числа месяца, следующего за отчетным месяцем, в котором был получен Иной межбюджетный </w:t>
            </w:r>
            <w:r>
              <w:rPr>
                <w:color w:val="000000"/>
                <w:sz w:val="28"/>
                <w:szCs w:val="28"/>
              </w:rPr>
              <w:lastRenderedPageBreak/>
              <w:t>трансферт.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4.3.5. В случае получения запроса обеспечивать представление в Мини</w:t>
            </w:r>
            <w:r>
              <w:rPr>
                <w:color w:val="000000"/>
                <w:sz w:val="28"/>
                <w:szCs w:val="28"/>
              </w:rPr>
              <w:t>стерство документов и материалов, необходимых  для осуществления контроля за соблюдением Муниципальным образованием условий предоставления Иного межбюджетного трансферта и других обязательств, предусмотренных настоящим Соглашением, в том числе данных бухга</w:t>
            </w:r>
            <w:r>
              <w:rPr>
                <w:color w:val="000000"/>
                <w:sz w:val="28"/>
                <w:szCs w:val="28"/>
              </w:rPr>
              <w:t>лтерского учета и первичной документации, связанных с исполнением Муниципальным образованием условий предоставления Иного межбюджетного трансферта.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4.3.6. Возвратить в областной бюджет не использованный по состоянию на 1 января финансового года, следующего за отчетным, остаток средств Иного межбюджетного трансферта в сроки, установленные бюджетным законодательством Российской Федерации.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4.3.7. Выполня</w:t>
            </w:r>
            <w:r>
              <w:rPr>
                <w:color w:val="000000"/>
                <w:sz w:val="28"/>
                <w:szCs w:val="28"/>
              </w:rPr>
              <w:t>ть иные обязательства, установленные бюджетным законодательством Российской Федерации, Правилами предоставления иных межбюджетных трансфертов и настоящим Соглашением: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4.3.7.1. Обеспечить заключение муниципальных контрактов в сроки, обеспечивающие своевреме</w:t>
            </w:r>
            <w:r>
              <w:rPr>
                <w:color w:val="000000"/>
                <w:sz w:val="28"/>
                <w:szCs w:val="28"/>
              </w:rPr>
              <w:t>нное достижение значений результатов предоставления Иного межбюджетного трансферта.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4.3.7.2. Обеспечить проведение ремонтных работ в соответствии с перечнем работ, относящихся к ремонту жилых помещений: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 стены, потолки, фасады: ремонт стен (перегородок),</w:t>
            </w:r>
            <w:r>
              <w:rPr>
                <w:color w:val="000000"/>
                <w:sz w:val="28"/>
                <w:szCs w:val="28"/>
              </w:rPr>
              <w:t xml:space="preserve"> потолков в жилых помещениях. Замена нижних венцов (деревянных, брусчатых, бревенчатых), окраска фасада, смена обшивки с утеплением, ремонт штукатурки фасада с окраской, облицовка фасада с утеплением/без утепления, ремонт цоколя и отмостки, утепление стен </w:t>
            </w:r>
            <w:r>
              <w:rPr>
                <w:color w:val="000000"/>
                <w:sz w:val="28"/>
                <w:szCs w:val="28"/>
              </w:rPr>
              <w:t>внутри жилого помещения для проживающих в частных домах;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кровля: ремонт кровли для проживающих в частных домах;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оконные и дверные заполнения: ремонт/замена оконных, дверных проёмов, ремонт/замена окон (в том числе вставка стекол), замена межкомнатных</w:t>
            </w:r>
            <w:r>
              <w:rPr>
                <w:color w:val="000000"/>
                <w:sz w:val="28"/>
                <w:szCs w:val="28"/>
              </w:rPr>
              <w:t xml:space="preserve"> и входных дверей;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балкон, крыльцо, веранда: ремонт/замена балконных блоков, остекление, утепление балконов и лоджий; для проживающих в частных домах: замена/ремонт крыльца, ремонт веранды/террасы, прилегающей к дому;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полы: замена, восстановление отде</w:t>
            </w:r>
            <w:r>
              <w:rPr>
                <w:color w:val="000000"/>
                <w:sz w:val="28"/>
                <w:szCs w:val="28"/>
              </w:rPr>
              <w:t>льных участков;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печи: ремонт печных приборов, дымоходов (в том числе полная разборка и перекладывание печей, дымоходов);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внутренняя отделка: окраска и оклейка обоями стен и потолков жилых и подсобных помещений, лоджий, балконов, окраска оконных переп</w:t>
            </w:r>
            <w:r>
              <w:rPr>
                <w:color w:val="000000"/>
                <w:sz w:val="28"/>
                <w:szCs w:val="28"/>
              </w:rPr>
              <w:t>летов и балконных полотен внешней и внутренней сторон, циклевка паркетных полов, окраска полов в жилых и подсобных помещениях, замена/укладка керамической плитки, замена/окраска плинтуса;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центральное отопление, водопровод, газопровод и канализация: окра</w:t>
            </w:r>
            <w:r>
              <w:rPr>
                <w:color w:val="000000"/>
                <w:sz w:val="28"/>
                <w:szCs w:val="28"/>
              </w:rPr>
              <w:t xml:space="preserve">ска/замена радиаторов, труб центрального отопления, газопровода, водопровода и канализации, </w:t>
            </w:r>
            <w:r>
              <w:rPr>
                <w:color w:val="000000"/>
                <w:spacing w:val="1"/>
                <w:sz w:val="28"/>
                <w:szCs w:val="28"/>
              </w:rPr>
              <w:t>замена или установка кранов, смесителей и другого сантехнического оборудования (в том числе ванн, унитазов, раковин, водонагревательных приборов при условии отсутст</w:t>
            </w:r>
            <w:r>
              <w:rPr>
                <w:color w:val="000000"/>
                <w:spacing w:val="1"/>
                <w:sz w:val="28"/>
                <w:szCs w:val="28"/>
              </w:rPr>
              <w:t>вия горячего водоснабжения), замена полотенцесушителей, ремонт/замена трубопровода;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электроснабжение и электротехнические устройства: р</w:t>
            </w:r>
            <w:r>
              <w:rPr>
                <w:color w:val="000000"/>
                <w:spacing w:val="1"/>
                <w:sz w:val="28"/>
                <w:szCs w:val="28"/>
              </w:rPr>
              <w:t>емонт и смена электропроводки от ввода в квартиру, ремонт/замена электротехнического оборудования, замена осветительных приборов</w:t>
            </w:r>
            <w:r>
              <w:rPr>
                <w:color w:val="000000"/>
                <w:sz w:val="28"/>
                <w:szCs w:val="28"/>
              </w:rPr>
              <w:t>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- вентиляция: замена вентиляционных решеток;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обеспечение инженерными сетями и оборудованием: установка септика, подключени</w:t>
            </w:r>
            <w:r>
              <w:rPr>
                <w:color w:val="000000"/>
                <w:sz w:val="28"/>
                <w:szCs w:val="28"/>
              </w:rPr>
              <w:t>е к центральной системе отопления, ремонт системы отопления, установка водонасосных скважин для проживающих в частных домах;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иные работы: у</w:t>
            </w:r>
            <w:r>
              <w:rPr>
                <w:color w:val="000000"/>
                <w:spacing w:val="1"/>
                <w:sz w:val="28"/>
                <w:szCs w:val="28"/>
              </w:rPr>
              <w:t>становка поручней и иных приспособлений для маломобильных ветеранов Великой Отечественной войны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4.3.7.3.  Направл</w:t>
            </w:r>
            <w:r>
              <w:rPr>
                <w:color w:val="000000"/>
                <w:sz w:val="28"/>
                <w:szCs w:val="28"/>
              </w:rPr>
              <w:t>ять в Министерство предложения о перераспределении размера Иного межбюджетного трансферта, не позднее 1 августа  2025 года.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 Муниципальное образование вправе: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4.4.1. Обращаться в Министерство за разъяснениями в связи с исполнением настоящего Соглашения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4.4.2. Осуществлять иные права, установленные бюджетным законодательством Российской Федерации, Правилами предоставления иных межбюджетных трансфертов и настоящим Соглашением.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V. Ответственность Сторон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5.1. В случае неисполнения или ненадлежащего исп</w:t>
            </w:r>
            <w:r>
              <w:rPr>
                <w:color w:val="000000"/>
                <w:sz w:val="28"/>
                <w:szCs w:val="28"/>
              </w:rPr>
              <w:t>олнения своих обязанностей по настоящему Соглашению Стороны несут ответственность в соответствии с законодательством Российской Федерации. </w:t>
            </w:r>
          </w:p>
          <w:p w:rsidR="00995791" w:rsidRDefault="000C678F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Муниципальное образование несет ответственность за не целевое использование Иного межбюджетного трансферта, пол</w:t>
            </w:r>
            <w:r>
              <w:rPr>
                <w:color w:val="000000"/>
                <w:sz w:val="28"/>
                <w:szCs w:val="28"/>
              </w:rPr>
              <w:t>ученного в рамках настоящего Соглашения, в соответствии с законодательством Российской Федерации.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VI. Иные условия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6.1. Иные условия по настоящему Соглашению:</w:t>
            </w:r>
          </w:p>
          <w:p w:rsidR="00995791" w:rsidRDefault="000C678F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6.1.1.Уполномоченным органом Муниципального образования, осуществляющим взаимодействие с Мини</w:t>
            </w:r>
            <w:r>
              <w:rPr>
                <w:color w:val="000000"/>
                <w:sz w:val="28"/>
                <w:szCs w:val="28"/>
              </w:rPr>
              <w:t>стерством, на который возлагаются функции по исполнению (координации исполнения) настоящего Соглашения и представлению отчетности,  является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управление жилищно-коммунального хозяйства администрации города Благовещенска.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VII. Заключительные положения</w:t>
            </w:r>
          </w:p>
          <w:p w:rsidR="00995791" w:rsidRDefault="00995791"/>
          <w:p w:rsidR="00995791" w:rsidRDefault="00995791"/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протоколов или иных документов. При недостижении согласия споры между Сторонами решаются в судебно</w:t>
            </w:r>
            <w:r>
              <w:rPr>
                <w:color w:val="000000"/>
                <w:sz w:val="28"/>
                <w:szCs w:val="28"/>
              </w:rPr>
              <w:t>м порядке.</w:t>
            </w:r>
          </w:p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7.2. Настоящее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</w:r>
          </w:p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В случае заключения нового сог</w:t>
            </w:r>
            <w:r>
              <w:rPr>
                <w:color w:val="000000"/>
                <w:sz w:val="28"/>
                <w:szCs w:val="28"/>
              </w:rPr>
              <w:t>лашения по предмету настоящего Соглашения обязательства Сторон по настоящему Соглашению прекращаются.</w:t>
            </w:r>
          </w:p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 xml:space="preserve">7.3. Изменение настоящего Соглашения осуществляется по инициативе Сторон, а также в случаях, установленных Правилами предоставления иных межбюджетных </w:t>
            </w:r>
            <w:r>
              <w:rPr>
                <w:color w:val="000000"/>
                <w:sz w:val="28"/>
                <w:szCs w:val="28"/>
              </w:rPr>
              <w:lastRenderedPageBreak/>
              <w:t>тран</w:t>
            </w:r>
            <w:r>
              <w:rPr>
                <w:color w:val="000000"/>
                <w:sz w:val="28"/>
                <w:szCs w:val="28"/>
              </w:rPr>
              <w:t>сфертов, и оформляется в виде дополнительного соглашения к настоящему Соглашению, которое является его неотъемлемой частью в централизованной информационно-технической системе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«АЦК-Планирование». </w:t>
            </w:r>
          </w:p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7.4. Внесение в настоящее Соглашение  изменений, предусматр</w:t>
            </w:r>
            <w:r>
              <w:rPr>
                <w:color w:val="000000"/>
                <w:sz w:val="28"/>
                <w:szCs w:val="28"/>
              </w:rPr>
              <w:t>ивающих ухудшение установленных значений результатов предоставления Иного межбюджетного трансферта, а также продление сроков исполнения обязательств, предусмотренных настоящим Соглашением, не допускается в течение всего срока действия настоящего Соглашения</w:t>
            </w:r>
            <w:r>
              <w:rPr>
                <w:color w:val="000000"/>
                <w:sz w:val="28"/>
                <w:szCs w:val="28"/>
              </w:rPr>
              <w:t>, за исключением случаев, если выполнение условий предоставления Иного межбюджетного трансферта оказалось невозможным вследствие обстоятельств непреодолимой силы, изменения значений целевых показателей и индикаторов Проекты Амурской области, а также в случ</w:t>
            </w:r>
            <w:r>
              <w:rPr>
                <w:color w:val="000000"/>
                <w:sz w:val="28"/>
                <w:szCs w:val="28"/>
              </w:rPr>
              <w:t>ае существенного (более чем на 20 процентов) сокращения размера Иного межбюджетного трансферта. </w:t>
            </w:r>
          </w:p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7.5. Расторжение настоящего Соглашения возможно при взаимном согласии Сторон.</w:t>
            </w:r>
          </w:p>
          <w:p w:rsidR="00995791" w:rsidRDefault="000C678F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7.6. Настоящее Соглашение заключено сторонами в форме электронного документа и подписано усиленными квалифицированными электронными подписями лиц, имеющих право действовать от имени каждой из Сторон соглашения.</w:t>
            </w:r>
          </w:p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VIII. Платежные реквизиты Сторон</w:t>
            </w:r>
          </w:p>
          <w:p w:rsidR="00995791" w:rsidRDefault="00995791"/>
          <w:p w:rsidR="00995791" w:rsidRDefault="00995791"/>
          <w:p w:rsidR="00995791" w:rsidRDefault="00995791">
            <w:pPr>
              <w:rPr>
                <w:vanish/>
              </w:rPr>
            </w:pPr>
          </w:p>
          <w:tbl>
            <w:tblPr>
              <w:tblOverlap w:val="never"/>
              <w:tblW w:w="10020" w:type="dxa"/>
              <w:tblLayout w:type="fixed"/>
              <w:tblLook w:val="01E0" w:firstRow="1" w:lastRow="1" w:firstColumn="1" w:lastColumn="1" w:noHBand="0" w:noVBand="0"/>
            </w:tblPr>
            <w:tblGrid>
              <w:gridCol w:w="5010"/>
              <w:gridCol w:w="5010"/>
            </w:tblGrid>
            <w:tr w:rsidR="00995791"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Наимено</w:t>
                  </w:r>
                  <w:r>
                    <w:rPr>
                      <w:color w:val="000000"/>
                      <w:sz w:val="24"/>
                      <w:szCs w:val="24"/>
                    </w:rPr>
                    <w:t>вание министерства: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Министерство социальной защиты населения Амурской области</w:t>
                  </w:r>
                </w:p>
              </w:tc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Наименование Муниципалитета: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управление жилищно-коммунального хозяйства администрации города Благовещенска </w:t>
                  </w:r>
                </w:p>
              </w:tc>
            </w:tr>
            <w:tr w:rsidR="00995791"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675000, Амурская область, г.Благовещенск, ул. Шимановского, д.8</w:t>
                  </w:r>
                </w:p>
              </w:tc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675000, Амурская область, город Благовещенск,ул.Б.Хмельницкого,8</w:t>
                  </w:r>
                </w:p>
              </w:tc>
            </w:tr>
            <w:tr w:rsidR="00995791"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Реквизиты: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Наименование подразделения Банка России// наименование и место нахождения ТОФК: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ОТДЕЛЕНИЕ БЛАГОВЕ</w:t>
                  </w:r>
                  <w:r>
                    <w:rPr>
                      <w:color w:val="000000"/>
                      <w:sz w:val="24"/>
                      <w:szCs w:val="24"/>
                    </w:rPr>
                    <w:t>ЩЕНСК БАНКА РОССИИ//УФК по Амурской области г Благовещенск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БИК ТОФК: 011012100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Банковский счет, входящий в состав единого казначейского счета: 40102810245370000015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Казначейский счет: 03221643100000002300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Лицевой счет: 03915234511 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Наименование владельца ка</w:t>
                  </w:r>
                  <w:r>
                    <w:rPr>
                      <w:color w:val="000000"/>
                      <w:sz w:val="24"/>
                      <w:szCs w:val="24"/>
                    </w:rPr>
                    <w:t>значейского счета: минфин АО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ИНН/КПП: 2801123865 / 280101001 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ОГРН: 1072801009148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ОКТМО: 10701000</w:t>
                  </w:r>
                </w:p>
              </w:tc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Реквизиты: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Наименование подразделения Банка России// наименование и место нахождения ТОФК: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ОТДЕЛЕНИЕ БЛАГОВЕЩЕНСК БАНКА РОССИИ//УФК по Амурской области г Благ</w:t>
                  </w:r>
                  <w:r>
                    <w:rPr>
                      <w:color w:val="000000"/>
                      <w:sz w:val="24"/>
                      <w:szCs w:val="24"/>
                    </w:rPr>
                    <w:t>овещенск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БИК ТОФК:011012100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Банковский счет, входящий в состав единого казначейского счета: 40102810245370000015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Казначейский счет: 03231643107010002300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Лицевой счет: 05233008630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Наименование владельца казначейского счета: </w:t>
                  </w:r>
                  <w:r>
                    <w:rPr>
                      <w:color w:val="000000"/>
                      <w:sz w:val="24"/>
                      <w:szCs w:val="24"/>
                    </w:rPr>
                    <w:t>управление ЖКХ города Благовещенска (управление ЖКХ города Благовещенска )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ИНН/КПП: 2801052325 / 280101001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ОГРН: 1022800507157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ОКТМО: 10701000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КБК: 0052.02.49999.04.0000.150</w:t>
                  </w:r>
                </w:p>
              </w:tc>
            </w:tr>
          </w:tbl>
          <w:p w:rsidR="00995791" w:rsidRDefault="00995791"/>
          <w:p w:rsidR="00995791" w:rsidRDefault="00995791"/>
          <w:p w:rsidR="00995791" w:rsidRDefault="000C678F">
            <w:pPr>
              <w:jc w:val="center"/>
            </w:pPr>
            <w:r>
              <w:rPr>
                <w:color w:val="000000"/>
                <w:sz w:val="24"/>
                <w:szCs w:val="24"/>
              </w:rPr>
              <w:t>IX. Подписи Сторон</w:t>
            </w:r>
          </w:p>
          <w:p w:rsidR="00995791" w:rsidRDefault="00995791"/>
          <w:p w:rsidR="00995791" w:rsidRDefault="00995791"/>
          <w:p w:rsidR="00995791" w:rsidRDefault="00995791">
            <w:pPr>
              <w:rPr>
                <w:vanish/>
              </w:rPr>
            </w:pPr>
          </w:p>
          <w:tbl>
            <w:tblPr>
              <w:tblOverlap w:val="never"/>
              <w:tblW w:w="1004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2"/>
              <w:gridCol w:w="5022"/>
            </w:tblGrid>
            <w:tr w:rsidR="00995791">
              <w:tc>
                <w:tcPr>
                  <w:tcW w:w="5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95791" w:rsidRDefault="000C678F">
                  <w:r>
                    <w:rPr>
                      <w:color w:val="000000"/>
                      <w:sz w:val="28"/>
                      <w:szCs w:val="28"/>
                    </w:rPr>
                    <w:t>Министерство:</w:t>
                  </w:r>
                </w:p>
                <w:p w:rsidR="00995791" w:rsidRDefault="000C678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Министр</w:t>
                  </w:r>
                </w:p>
                <w:p w:rsidR="00995791" w:rsidRDefault="000C678F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995791" w:rsidRDefault="000C678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Киселёва Наталья В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икторовна 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  <w:sz w:val="28"/>
                      <w:szCs w:val="28"/>
                    </w:rPr>
                    <w:t>Муниципальное образование:</w:t>
                  </w:r>
                </w:p>
                <w:p w:rsidR="00995791" w:rsidRDefault="000C678F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995791" w:rsidRDefault="000C678F"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</w:p>
                <w:p w:rsidR="00995791" w:rsidRDefault="000C678F">
                  <w:r>
                    <w:rPr>
                      <w:color w:val="000000"/>
                      <w:sz w:val="28"/>
                      <w:szCs w:val="28"/>
                    </w:rPr>
                    <w:t>    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7"/>
          <w:footerReference w:type="default" r:id="rId8"/>
          <w:pgSz w:w="11905" w:h="16837"/>
          <w:pgMar w:top="283" w:right="283" w:bottom="283" w:left="1133" w:header="283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24"/>
                <w:szCs w:val="24"/>
              </w:rPr>
              <w:t>Приложение № 1</w:t>
            </w:r>
          </w:p>
          <w:p w:rsidR="00995791" w:rsidRDefault="000C678F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995791">
        <w:trPr>
          <w:trHeight w:val="276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Информация об объемах финансового обеспечения расходных обязательств муниципального образования, софинансируемых из бюджета субъекта Российской Федерации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right"/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10300863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10701000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r>
              <w:rPr>
                <w:color w:val="000000"/>
              </w:rPr>
              <w:t>министерство социальной защиты населения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10200411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0</w:t>
            </w:r>
          </w:p>
        </w:tc>
        <w:tc>
          <w:tcPr>
            <w:tcW w:w="213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c>
          <w:tcPr>
            <w:tcW w:w="5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руб (с точностью до второго знака после запятой)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ОКЕИ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</w:tbl>
    <w:p w:rsidR="00995791" w:rsidRDefault="00995791">
      <w:pPr>
        <w:sectPr w:rsidR="00995791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rPr>
          <w:trHeight w:val="230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 Объем финансового обеспечения расходных обязательств муниципального образования, в целях софинансирования которых предоставляется Иной межбюджетный трансферт</w:t>
            </w:r>
          </w:p>
        </w:tc>
      </w:tr>
      <w:tr w:rsidR="00995791">
        <w:trPr>
          <w:trHeight w:val="230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b/>
                <w:bCs/>
                <w:color w:val="000000"/>
              </w:rPr>
            </w:pPr>
          </w:p>
        </w:tc>
      </w:tr>
    </w:tbl>
    <w:p w:rsidR="00995791" w:rsidRDefault="00995791">
      <w:pPr>
        <w:rPr>
          <w:vanish/>
        </w:rPr>
      </w:pPr>
      <w:bookmarkStart w:id="1" w:name="__bookmark_1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92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9"/>
              <w:gridCol w:w="1189"/>
              <w:gridCol w:w="788"/>
              <w:gridCol w:w="849"/>
              <w:gridCol w:w="565"/>
              <w:gridCol w:w="849"/>
              <w:gridCol w:w="849"/>
              <w:gridCol w:w="849"/>
              <w:gridCol w:w="565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565"/>
              <w:gridCol w:w="565"/>
              <w:gridCol w:w="565"/>
              <w:gridCol w:w="565"/>
            </w:tblGrid>
            <w:tr w:rsidR="00995791">
              <w:trPr>
                <w:trHeight w:val="230"/>
                <w:jc w:val="center"/>
              </w:trPr>
              <w:tc>
                <w:tcPr>
                  <w:tcW w:w="2380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Направление расходов 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Результат предоставления Иного межбюджетного трансферта</w:t>
                  </w:r>
                </w:p>
              </w:tc>
              <w:tc>
                <w:tcPr>
                  <w:tcW w:w="3966" w:type="dxa"/>
                  <w:gridSpan w:val="5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Объект капита</w:t>
                  </w:r>
                  <w:r>
                    <w:rPr>
                      <w:color w:val="000000"/>
                    </w:rPr>
                    <w:t>льного строительства (недвижимого имущества)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4984" w:type="dxa"/>
                  <w:gridSpan w:val="8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Объем финансового обеспечения расходных обязательств</w:t>
                  </w:r>
                  <w:r>
                    <w:rPr>
                      <w:color w:val="000000"/>
                    </w:rPr>
                    <w:br/>
                    <w:t>муниципального образования, в целях софинансирования которых предоставляется Иной межбюджетный трансферт</w:t>
                  </w:r>
                </w:p>
              </w:tc>
              <w:tc>
                <w:tcPr>
                  <w:tcW w:w="2264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Уровень софинансирования, % </w:t>
                  </w:r>
                </w:p>
              </w:tc>
            </w:tr>
            <w:tr w:rsidR="00995791">
              <w:trPr>
                <w:trHeight w:val="1"/>
                <w:jc w:val="center"/>
              </w:trPr>
              <w:tc>
                <w:tcPr>
                  <w:tcW w:w="2380" w:type="dxa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788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уникальный код</w:t>
                  </w:r>
                </w:p>
              </w:tc>
              <w:tc>
                <w:tcPr>
                  <w:tcW w:w="1700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Местонахождение</w:t>
                  </w:r>
                  <w:r>
                    <w:rPr>
                      <w:color w:val="000000"/>
                    </w:rPr>
                    <w:br/>
                    <w:t>по ОКТМО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(в соответствии с ФИАС)</w:t>
                  </w:r>
                </w:p>
              </w:tc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492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2492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из них в размере Иного межбюджетного трансферта</w:t>
                  </w:r>
                </w:p>
              </w:tc>
              <w:tc>
                <w:tcPr>
                  <w:tcW w:w="2264" w:type="dxa"/>
                  <w:gridSpan w:val="4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</w:tr>
            <w:tr w:rsidR="00995791">
              <w:trPr>
                <w:jc w:val="center"/>
              </w:trPr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по БК</w:t>
                  </w:r>
                </w:p>
              </w:tc>
              <w:tc>
                <w:tcPr>
                  <w:tcW w:w="788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2024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2024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2024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  <w:bookmarkStart w:id="2" w:name="__bookmark_2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rPr>
          <w:tblHeader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92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9"/>
              <w:gridCol w:w="1189"/>
              <w:gridCol w:w="788"/>
              <w:gridCol w:w="849"/>
              <w:gridCol w:w="565"/>
              <w:gridCol w:w="849"/>
              <w:gridCol w:w="849"/>
              <w:gridCol w:w="849"/>
              <w:gridCol w:w="565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565"/>
              <w:gridCol w:w="565"/>
              <w:gridCol w:w="565"/>
              <w:gridCol w:w="565"/>
            </w:tblGrid>
            <w:tr w:rsidR="00995791">
              <w:trPr>
                <w:jc w:val="center"/>
              </w:trPr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5.3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  <w:tr w:rsidR="00995791">
        <w:trPr>
          <w:hidden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92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9"/>
              <w:gridCol w:w="1189"/>
              <w:gridCol w:w="788"/>
              <w:gridCol w:w="849"/>
              <w:gridCol w:w="565"/>
              <w:gridCol w:w="849"/>
              <w:gridCol w:w="849"/>
              <w:gridCol w:w="849"/>
              <w:gridCol w:w="565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565"/>
              <w:gridCol w:w="565"/>
              <w:gridCol w:w="565"/>
              <w:gridCol w:w="565"/>
            </w:tblGrid>
            <w:tr w:rsidR="00995791">
              <w:trPr>
                <w:jc w:val="center"/>
              </w:trPr>
              <w:tc>
                <w:tcPr>
                  <w:tcW w:w="119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Ремонт жилых помещений ветеранов Великой Отечественной войны</w:t>
                  </w:r>
                </w:p>
              </w:tc>
              <w:tc>
                <w:tcPr>
                  <w:tcW w:w="119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80270</w:t>
                  </w:r>
                </w:p>
              </w:tc>
              <w:tc>
                <w:tcPr>
                  <w:tcW w:w="7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r>
                    <w:rPr>
                      <w:color w:val="000000"/>
                    </w:rPr>
                    <w:t>Количество ветеранов Великой Отечественной войны, в жилых помещениях которых произведен ремонт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0101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7 800 000,00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7 800 000,00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0,000000000000000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100,000000000000000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0,000000000000000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0,000000000000000</w:t>
                  </w:r>
                </w:p>
              </w:tc>
            </w:tr>
            <w:tr w:rsidR="00995791">
              <w:trPr>
                <w:jc w:val="center"/>
              </w:trPr>
              <w:tc>
                <w:tcPr>
                  <w:tcW w:w="7700" w:type="dxa"/>
                  <w:gridSpan w:val="9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95791" w:rsidRDefault="000C678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Итого: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7 800 000,00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7 800 000,00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11"/>
          <w:footerReference w:type="default" r:id="rId12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rPr>
          <w:trHeight w:val="230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2. Справочно:</w:t>
            </w:r>
          </w:p>
          <w:p w:rsidR="00995791" w:rsidRDefault="00995791">
            <w:pPr>
              <w:rPr>
                <w:b/>
                <w:bCs/>
                <w:color w:val="000000"/>
              </w:rPr>
            </w:pPr>
          </w:p>
        </w:tc>
      </w:tr>
      <w:tr w:rsidR="00995791">
        <w:trPr>
          <w:trHeight w:val="1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  <w:bookmarkStart w:id="3" w:name="__bookmark_3"/>
      <w:bookmarkEnd w:id="3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1513" w:type="dxa"/>
              <w:tblLayout w:type="fixed"/>
              <w:tblLook w:val="01E0" w:firstRow="1" w:lastRow="1" w:firstColumn="1" w:lastColumn="1" w:noHBand="0" w:noVBand="0"/>
            </w:tblPr>
            <w:tblGrid>
              <w:gridCol w:w="764"/>
              <w:gridCol w:w="2263"/>
              <w:gridCol w:w="2263"/>
              <w:gridCol w:w="1697"/>
              <w:gridCol w:w="2263"/>
              <w:gridCol w:w="2263"/>
            </w:tblGrid>
            <w:tr w:rsidR="00995791">
              <w:trPr>
                <w:trHeight w:val="207"/>
              </w:trPr>
              <w:tc>
                <w:tcPr>
                  <w:tcW w:w="7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Код строки </w:t>
                  </w:r>
                </w:p>
              </w:tc>
              <w:tc>
                <w:tcPr>
                  <w:tcW w:w="10768" w:type="dxa"/>
                  <w:gridSpan w:val="5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Объект капитального строительства (недвижимого имущества)</w:t>
                  </w:r>
                </w:p>
              </w:tc>
            </w:tr>
            <w:tr w:rsidR="00995791">
              <w:trPr>
                <w:trHeight w:val="1"/>
              </w:trPr>
              <w:tc>
                <w:tcPr>
                  <w:tcW w:w="765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уникальный код</w:t>
                  </w:r>
                </w:p>
              </w:tc>
              <w:tc>
                <w:tcPr>
                  <w:tcW w:w="6234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мощность</w:t>
                  </w:r>
                </w:p>
              </w:tc>
            </w:tr>
            <w:tr w:rsidR="00995791">
              <w:trPr>
                <w:trHeight w:val="1"/>
              </w:trPr>
              <w:tc>
                <w:tcPr>
                  <w:tcW w:w="765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3967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значение</w:t>
                  </w:r>
                </w:p>
              </w:tc>
            </w:tr>
            <w:tr w:rsidR="00995791">
              <w:tc>
                <w:tcPr>
                  <w:tcW w:w="765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по ОКЕИ</w:t>
                  </w: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  <w:bookmarkStart w:id="4" w:name="__bookmark_4"/>
      <w:bookmarkEnd w:id="4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tbl>
            <w:tblPr>
              <w:tblOverlap w:val="never"/>
              <w:tblW w:w="11513" w:type="dxa"/>
              <w:tblLayout w:type="fixed"/>
              <w:tblLook w:val="01E0" w:firstRow="1" w:lastRow="1" w:firstColumn="1" w:lastColumn="1" w:noHBand="0" w:noVBand="0"/>
            </w:tblPr>
            <w:tblGrid>
              <w:gridCol w:w="764"/>
              <w:gridCol w:w="2263"/>
              <w:gridCol w:w="2263"/>
              <w:gridCol w:w="1697"/>
              <w:gridCol w:w="2263"/>
              <w:gridCol w:w="2263"/>
            </w:tblGrid>
            <w:tr w:rsidR="00995791"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  <w:tr w:rsidR="00995791">
        <w:trPr>
          <w:hidden/>
        </w:trPr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995791" w:rsidRDefault="00995791">
            <w:pPr>
              <w:rPr>
                <w:vanish/>
              </w:rPr>
            </w:pPr>
          </w:p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286"/>
        <w:gridCol w:w="1133"/>
        <w:gridCol w:w="7286"/>
      </w:tblGrid>
      <w:tr w:rsidR="00995791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995791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министерство социальной защиты населения Амурской области</w:t>
            </w:r>
          </w:p>
        </w:tc>
      </w:tr>
      <w:tr w:rsidR="00995791"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(Муниципалитет)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(Министерство, Управление, Инспекция и т.д.)</w:t>
            </w:r>
          </w:p>
        </w:tc>
      </w:tr>
    </w:tbl>
    <w:p w:rsidR="00995791" w:rsidRDefault="00995791">
      <w:pPr>
        <w:sectPr w:rsidR="00995791">
          <w:headerReference w:type="default" r:id="rId13"/>
          <w:footerReference w:type="default" r:id="rId14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24"/>
                <w:szCs w:val="24"/>
              </w:rPr>
              <w:t>Приложение № 2</w:t>
            </w:r>
          </w:p>
          <w:p w:rsidR="00995791" w:rsidRDefault="000C678F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995791">
        <w:trPr>
          <w:trHeight w:val="253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Значения результатов предоставления Иного межбюджетного трансферта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right"/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Коды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18"/>
                <w:szCs w:val="18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  <w:sz w:val="18"/>
                <w:szCs w:val="18"/>
              </w:rPr>
              <w:t>10300863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18"/>
                <w:szCs w:val="18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  <w:sz w:val="18"/>
                <w:szCs w:val="18"/>
              </w:rPr>
              <w:t>10701000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r>
              <w:rPr>
                <w:color w:val="000000"/>
                <w:sz w:val="18"/>
                <w:szCs w:val="18"/>
              </w:rPr>
              <w:t>министерство социальной защиты населения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  <w:sz w:val="18"/>
                <w:szCs w:val="18"/>
              </w:rPr>
              <w:t>10200411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3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5791">
        <w:tc>
          <w:tcPr>
            <w:tcW w:w="5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15"/>
          <w:footerReference w:type="default" r:id="rId16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699"/>
              <w:gridCol w:w="1273"/>
              <w:gridCol w:w="2264"/>
              <w:gridCol w:w="1245"/>
              <w:gridCol w:w="1245"/>
              <w:gridCol w:w="1131"/>
              <w:gridCol w:w="1415"/>
              <w:gridCol w:w="1415"/>
              <w:gridCol w:w="1415"/>
              <w:gridCol w:w="1415"/>
            </w:tblGrid>
            <w:tr w:rsidR="00995791">
              <w:trPr>
                <w:trHeight w:val="207"/>
                <w:jc w:val="center"/>
              </w:trPr>
              <w:tc>
                <w:tcPr>
                  <w:tcW w:w="2975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5" w:name="__bookmark_5"/>
                  <w:bookmarkEnd w:id="5"/>
                  <w:r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Направление расходов </w:t>
                  </w: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Результат предоставления Иного межбюджетного трансферта</w:t>
                  </w:r>
                </w:p>
              </w:tc>
              <w:tc>
                <w:tcPr>
                  <w:tcW w:w="249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строки</w:t>
                  </w:r>
                </w:p>
              </w:tc>
              <w:tc>
                <w:tcPr>
                  <w:tcW w:w="5668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Плановые значения результатов предоставления Иного межбюджетного трансферта по годам (срокам) реализации Соглашения </w:t>
                  </w:r>
                </w:p>
              </w:tc>
            </w:tr>
            <w:tr w:rsidR="00995791">
              <w:trPr>
                <w:trHeight w:val="1"/>
                <w:jc w:val="center"/>
              </w:trPr>
              <w:tc>
                <w:tcPr>
                  <w:tcW w:w="2975" w:type="dxa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24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24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по ОКЕИ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31.12.2024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31.12.2025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31.12.2026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31.12.2027</w:t>
                  </w:r>
                </w:p>
              </w:tc>
            </w:tr>
            <w:tr w:rsidR="00995791">
              <w:trPr>
                <w:jc w:val="center"/>
              </w:trPr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по БК</w:t>
                  </w: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24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24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  <w:bookmarkStart w:id="6" w:name="__bookmark_6"/>
      <w:bookmarkEnd w:id="6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rPr>
          <w:tblHeader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699"/>
              <w:gridCol w:w="1273"/>
              <w:gridCol w:w="2264"/>
              <w:gridCol w:w="1245"/>
              <w:gridCol w:w="1245"/>
              <w:gridCol w:w="1131"/>
              <w:gridCol w:w="1415"/>
              <w:gridCol w:w="1415"/>
              <w:gridCol w:w="1415"/>
              <w:gridCol w:w="1415"/>
            </w:tblGrid>
            <w:tr w:rsidR="00995791">
              <w:trPr>
                <w:jc w:val="center"/>
              </w:trPr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  <w:tr w:rsidR="00995791">
        <w:trPr>
          <w:hidden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1273"/>
              <w:gridCol w:w="2264"/>
              <w:gridCol w:w="1245"/>
              <w:gridCol w:w="1245"/>
              <w:gridCol w:w="1132"/>
              <w:gridCol w:w="1415"/>
              <w:gridCol w:w="1415"/>
              <w:gridCol w:w="1415"/>
              <w:gridCol w:w="1415"/>
            </w:tblGrid>
            <w:tr w:rsidR="00995791">
              <w:trPr>
                <w:jc w:val="center"/>
              </w:trPr>
              <w:tc>
                <w:tcPr>
                  <w:tcW w:w="170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r>
                    <w:rPr>
                      <w:color w:val="000000"/>
                      <w:sz w:val="18"/>
                      <w:szCs w:val="18"/>
                    </w:rPr>
                    <w:t>Ремонт жилых помещений ветеранов Великой Отечественной войны</w:t>
                  </w:r>
                </w:p>
              </w:tc>
              <w:tc>
                <w:tcPr>
                  <w:tcW w:w="127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80270</w:t>
                  </w:r>
                </w:p>
              </w:tc>
              <w:tc>
                <w:tcPr>
                  <w:tcW w:w="22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r>
                    <w:rPr>
                      <w:color w:val="000000"/>
                      <w:sz w:val="18"/>
                      <w:szCs w:val="18"/>
                    </w:rPr>
                    <w:t>Количество ветеранов Великой Отечественной войны, в жилых помещениях которых произведен ремонт</w:t>
                  </w:r>
                </w:p>
              </w:tc>
              <w:tc>
                <w:tcPr>
                  <w:tcW w:w="124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124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995791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13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0101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39.00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286"/>
        <w:gridCol w:w="1133"/>
        <w:gridCol w:w="7286"/>
      </w:tblGrid>
      <w:tr w:rsidR="00995791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995791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министерство социальной защиты населения Амурской области</w:t>
            </w:r>
          </w:p>
        </w:tc>
      </w:tr>
      <w:tr w:rsidR="00995791"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(Муниципалитет)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(Министерство, Управление, Инспекция и т.д.)</w:t>
            </w:r>
          </w:p>
        </w:tc>
      </w:tr>
    </w:tbl>
    <w:p w:rsidR="00995791" w:rsidRDefault="00995791">
      <w:pPr>
        <w:sectPr w:rsidR="00995791">
          <w:headerReference w:type="default" r:id="rId17"/>
          <w:footerReference w:type="default" r:id="rId18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24"/>
                <w:szCs w:val="24"/>
              </w:rPr>
              <w:t>Приложение № 3</w:t>
            </w:r>
          </w:p>
          <w:p w:rsidR="00995791" w:rsidRDefault="000C678F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995791">
        <w:trPr>
          <w:trHeight w:val="276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Отчёт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о расходах, в целях софинансирования которых предоставляется Иной межбюджетный трансферт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  <w:jc w:val="center"/>
            </w:pPr>
          </w:p>
        </w:tc>
        <w:tc>
          <w:tcPr>
            <w:tcW w:w="6803" w:type="dxa"/>
            <w:tcMar>
              <w:top w:w="0" w:type="dxa"/>
              <w:left w:w="794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 1 _________________ 20__ г.</w:t>
            </w:r>
          </w:p>
          <w:p w:rsidR="00995791" w:rsidRDefault="00995791">
            <w:pPr>
              <w:jc w:val="right"/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  <w:jc w:val="center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10300863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10701000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r>
              <w:rPr>
                <w:color w:val="000000"/>
              </w:rPr>
              <w:t>министерство социальной защиты населения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10200411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руб (с точностью до второго знака после запятой)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ОКЕИ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Периодичность: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Месячная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19"/>
          <w:footerReference w:type="default" r:id="rId2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15323"/>
      </w:tblGrid>
      <w:tr w:rsidR="00995791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 Движение денежных средств</w:t>
            </w:r>
          </w:p>
        </w:tc>
      </w:tr>
      <w:tr w:rsidR="00995791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b/>
                <w:bCs/>
                <w:color w:val="000000"/>
              </w:rPr>
            </w:pPr>
          </w:p>
        </w:tc>
      </w:tr>
    </w:tbl>
    <w:p w:rsidR="00995791" w:rsidRDefault="00995791">
      <w:pPr>
        <w:rPr>
          <w:vanish/>
        </w:rPr>
      </w:pPr>
      <w:bookmarkStart w:id="7" w:name="__bookmark_7"/>
      <w:bookmarkEnd w:id="7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399" w:type="dxa"/>
              <w:tblLayout w:type="fixed"/>
              <w:tblLook w:val="01E0" w:firstRow="1" w:lastRow="1" w:firstColumn="1" w:lastColumn="1" w:noHBand="0" w:noVBand="0"/>
            </w:tblPr>
            <w:tblGrid>
              <w:gridCol w:w="12456"/>
              <w:gridCol w:w="962"/>
              <w:gridCol w:w="1981"/>
            </w:tblGrid>
            <w:tr w:rsidR="00995791">
              <w:tc>
                <w:tcPr>
                  <w:tcW w:w="12472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96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</w:pPr>
                  <w:r>
                    <w:rPr>
                      <w:color w:val="000000"/>
                    </w:rPr>
                    <w:t>Сумма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  <w:bookmarkStart w:id="8" w:name="__bookmark_8"/>
      <w:bookmarkEnd w:id="8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tbl>
            <w:tblPr>
              <w:tblOverlap w:val="never"/>
              <w:tblW w:w="15399" w:type="dxa"/>
              <w:tblLayout w:type="fixed"/>
              <w:tblLook w:val="01E0" w:firstRow="1" w:lastRow="1" w:firstColumn="1" w:lastColumn="1" w:noHBand="0" w:noVBand="0"/>
            </w:tblPr>
            <w:tblGrid>
              <w:gridCol w:w="12456"/>
              <w:gridCol w:w="962"/>
              <w:gridCol w:w="1981"/>
            </w:tblGrid>
            <w:tr w:rsidR="00995791">
              <w:tc>
                <w:tcPr>
                  <w:tcW w:w="12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  <w:tr w:rsidR="00995791">
        <w:trPr>
          <w:hidden/>
        </w:trPr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995791" w:rsidRDefault="00995791">
            <w:pPr>
              <w:rPr>
                <w:vanish/>
              </w:rPr>
            </w:pPr>
          </w:p>
          <w:tbl>
            <w:tblPr>
              <w:tblOverlap w:val="never"/>
              <w:tblW w:w="15399" w:type="dxa"/>
              <w:tblLayout w:type="fixed"/>
              <w:tblLook w:val="01E0" w:firstRow="1" w:lastRow="1" w:firstColumn="1" w:lastColumn="1" w:noHBand="0" w:noVBand="0"/>
            </w:tblPr>
            <w:tblGrid>
              <w:gridCol w:w="12456"/>
              <w:gridCol w:w="962"/>
              <w:gridCol w:w="1981"/>
            </w:tblGrid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40" w:type="dxa"/>
                    <w:bottom w:w="2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Остаток Иного межбюджетного трансферта на начало текущего финансового года,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из них:</w:t>
                  </w:r>
                </w:p>
                <w:p w:rsidR="00995791" w:rsidRDefault="000C678F">
                  <w:r>
                    <w:rPr>
                      <w:color w:val="000000"/>
                    </w:rPr>
                    <w:t>подлежит возврату в областной бюджет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Размер Иного межбюджетного трансферта, подлежащего предоставлению в текущем финансовом году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Предусмотрено бюджетных ассигнований на исполнение расходных обязательств, в целях софинансирования которых предоставляется Иной межбюджетный трансферт на тек</w:t>
                  </w:r>
                  <w:r>
                    <w:rPr>
                      <w:color w:val="000000"/>
                    </w:rPr>
                    <w:t>ущий финансовый год,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Поступило средств Иного межбюджетного трансферта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Кассовые расходы на отчетную дату,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из них:</w:t>
                  </w:r>
                </w:p>
                <w:p w:rsidR="00995791" w:rsidRDefault="000C678F">
                  <w:r>
                    <w:rPr>
                      <w:color w:val="000000"/>
                    </w:rPr>
                    <w:t>в объеме софинансирования из областного бюджета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Восстановлено средств, подлежащих возврату областной бюджет,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в том числе:</w:t>
                  </w:r>
                </w:p>
                <w:p w:rsidR="00995791" w:rsidRDefault="000C678F">
                  <w:r>
                    <w:rPr>
                      <w:color w:val="000000"/>
                    </w:rPr>
                    <w:t>использованных в текущем году,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94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из них:</w:t>
                  </w:r>
                </w:p>
                <w:p w:rsidR="00995791" w:rsidRDefault="000C678F">
                  <w:r>
                    <w:rPr>
                      <w:color w:val="000000"/>
                    </w:rPr>
                    <w:t>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062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использованных в предшествующие годы,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063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94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из них:</w:t>
                  </w:r>
                </w:p>
                <w:p w:rsidR="00995791" w:rsidRDefault="000C678F">
                  <w:r>
                    <w:rPr>
                      <w:color w:val="000000"/>
                    </w:rPr>
                    <w:t>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064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Возвращено (взыскано) в бюджет субъекта Российской Федерации,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в том числе:</w:t>
                  </w:r>
                </w:p>
                <w:p w:rsidR="00995791" w:rsidRDefault="000C678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остаток средств Иного межбюджетного трансферта на начало текущего финансового года 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восстановленных средств, подлежащих перечислению в областной бюджет,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072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из них:</w:t>
                  </w:r>
                </w:p>
                <w:p w:rsidR="00995791" w:rsidRDefault="000C678F">
                  <w:r>
                    <w:rPr>
                      <w:color w:val="000000"/>
                    </w:rPr>
                    <w:t>использованных в текущем году, включая использованных 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073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использованных в предшествующие годы, включая использованных 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074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both"/>
                  </w:pPr>
                  <w:r>
                    <w:rPr>
                      <w:color w:val="000000"/>
                    </w:rPr>
                    <w:t>Остаток средств Иного межбюджетного трансферта на конец отчетно</w:t>
                  </w:r>
                  <w:r>
                    <w:rPr>
                      <w:color w:val="000000"/>
                    </w:rPr>
                    <w:t>го периода (года) (стр. 10 + стр. 40 - стр. 50 + стр. 60 - стр. 70),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95791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995791" w:rsidRDefault="000C678F">
                  <w:r>
                    <w:rPr>
                      <w:color w:val="000000"/>
                    </w:rPr>
                    <w:t>из них:</w:t>
                  </w:r>
                </w:p>
                <w:p w:rsidR="00995791" w:rsidRDefault="000C678F">
                  <w:r>
                    <w:rPr>
                      <w:color w:val="000000"/>
                    </w:rPr>
                    <w:t>подлежит возврату в областной бюджет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21"/>
          <w:footerReference w:type="default" r:id="rId22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15323"/>
      </w:tblGrid>
      <w:tr w:rsidR="00995791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b/>
                <w:bCs/>
                <w:color w:val="000000"/>
              </w:rPr>
            </w:pPr>
          </w:p>
        </w:tc>
      </w:tr>
      <w:tr w:rsidR="00995791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Сведения о направлении расходов бюджета муниципального образования, софинансируемых из бюджета субъекта Российской Федерации</w:t>
            </w:r>
          </w:p>
        </w:tc>
      </w:tr>
      <w:tr w:rsidR="00995791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b/>
                <w:bCs/>
                <w:color w:val="000000"/>
              </w:rPr>
            </w:pPr>
          </w:p>
        </w:tc>
      </w:tr>
    </w:tbl>
    <w:p w:rsidR="00995791" w:rsidRDefault="00995791">
      <w:pPr>
        <w:rPr>
          <w:vanish/>
        </w:rPr>
      </w:pPr>
      <w:bookmarkStart w:id="9" w:name="__bookmark_9"/>
      <w:bookmarkEnd w:id="9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3249" w:type="dxa"/>
              <w:tblLayout w:type="fixed"/>
              <w:tblLook w:val="01E0" w:firstRow="1" w:lastRow="1" w:firstColumn="1" w:lastColumn="1" w:noHBand="0" w:noVBand="0"/>
            </w:tblPr>
            <w:tblGrid>
              <w:gridCol w:w="1415"/>
              <w:gridCol w:w="1415"/>
              <w:gridCol w:w="1415"/>
              <w:gridCol w:w="1415"/>
              <w:gridCol w:w="1369"/>
              <w:gridCol w:w="2988"/>
              <w:gridCol w:w="3232"/>
            </w:tblGrid>
            <w:tr w:rsidR="00995791">
              <w:trPr>
                <w:trHeight w:val="230"/>
              </w:trPr>
              <w:tc>
                <w:tcPr>
                  <w:tcW w:w="5668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Код расходов по бюджетной классификации 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99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Предусмотрено бюджетных ассигнований в бюджете муниципального образования (стр. 030 разд. 1)</w:t>
                  </w:r>
                </w:p>
              </w:tc>
              <w:tc>
                <w:tcPr>
                  <w:tcW w:w="323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Кассовые расходы бюджета муниципального образования, нарастающим итогом с начала года (стр. 050 разд. 1)</w:t>
                  </w:r>
                </w:p>
              </w:tc>
            </w:tr>
            <w:tr w:rsidR="00995791"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раздела, подраздела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целевой статьи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вида расходов</w:t>
                  </w:r>
                </w:p>
              </w:tc>
              <w:tc>
                <w:tcPr>
                  <w:tcW w:w="137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299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  <w:tc>
                <w:tcPr>
                  <w:tcW w:w="323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  <w:bookmarkStart w:id="10" w:name="__bookmark_10"/>
      <w:bookmarkEnd w:id="10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95791"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tbl>
            <w:tblPr>
              <w:tblOverlap w:val="never"/>
              <w:tblW w:w="13249" w:type="dxa"/>
              <w:tblLayout w:type="fixed"/>
              <w:tblLook w:val="01E0" w:firstRow="1" w:lastRow="1" w:firstColumn="1" w:lastColumn="1" w:noHBand="0" w:noVBand="0"/>
            </w:tblPr>
            <w:tblGrid>
              <w:gridCol w:w="1415"/>
              <w:gridCol w:w="1415"/>
              <w:gridCol w:w="1415"/>
              <w:gridCol w:w="1415"/>
              <w:gridCol w:w="1369"/>
              <w:gridCol w:w="2988"/>
              <w:gridCol w:w="3232"/>
            </w:tblGrid>
            <w:tr w:rsidR="00995791"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0C678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  <w:tr w:rsidR="00995791">
        <w:trPr>
          <w:hidden/>
        </w:trPr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995791" w:rsidRDefault="00995791">
            <w:pPr>
              <w:rPr>
                <w:vanish/>
              </w:rPr>
            </w:pPr>
          </w:p>
          <w:tbl>
            <w:tblPr>
              <w:tblOverlap w:val="never"/>
              <w:tblW w:w="13249" w:type="dxa"/>
              <w:tblLayout w:type="fixed"/>
              <w:tblLook w:val="01E0" w:firstRow="1" w:lastRow="1" w:firstColumn="1" w:lastColumn="1" w:noHBand="0" w:noVBand="0"/>
            </w:tblPr>
            <w:tblGrid>
              <w:gridCol w:w="1415"/>
              <w:gridCol w:w="1415"/>
              <w:gridCol w:w="1415"/>
              <w:gridCol w:w="1415"/>
              <w:gridCol w:w="1369"/>
              <w:gridCol w:w="2988"/>
              <w:gridCol w:w="3232"/>
            </w:tblGrid>
            <w:tr w:rsidR="00995791"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spacing w:line="1" w:lineRule="auto"/>
                  </w:pPr>
                </w:p>
              </w:tc>
            </w:tr>
            <w:tr w:rsidR="00995791"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95791" w:rsidRDefault="0099579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95791" w:rsidRDefault="00995791">
                  <w:pPr>
                    <w:rPr>
                      <w:color w:val="000000"/>
                    </w:rPr>
                  </w:pPr>
                </w:p>
              </w:tc>
            </w:tr>
          </w:tbl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2267"/>
        <w:gridCol w:w="1133"/>
        <w:gridCol w:w="3535"/>
        <w:gridCol w:w="850"/>
        <w:gridCol w:w="3535"/>
        <w:gridCol w:w="850"/>
        <w:gridCol w:w="3535"/>
      </w:tblGrid>
      <w:tr w:rsidR="00995791">
        <w:tc>
          <w:tcPr>
            <w:tcW w:w="693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(уполномоченное лицо)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995791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(телефон с кодом города)</w:t>
            </w:r>
          </w:p>
        </w:tc>
      </w:tr>
      <w:tr w:rsidR="00995791">
        <w:tc>
          <w:tcPr>
            <w:tcW w:w="34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«____» ____________ 20__ г.</w:t>
            </w: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23"/>
          <w:footerReference w:type="default" r:id="rId24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  <w:sz w:val="24"/>
                <w:szCs w:val="24"/>
              </w:rPr>
              <w:t>Приложение № 4</w:t>
            </w:r>
          </w:p>
          <w:p w:rsidR="00995791" w:rsidRDefault="000C678F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995791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995791">
        <w:trPr>
          <w:trHeight w:val="253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Отчет о достижении значений результатов предоставления Иного межбюджетного трансферта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1134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 1 _________________ 20__ г.</w:t>
            </w:r>
          </w:p>
          <w:p w:rsidR="00995791" w:rsidRDefault="00995791">
            <w:pPr>
              <w:jc w:val="right"/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right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  <w:r>
              <w:rPr>
                <w:color w:val="000000"/>
              </w:rPr>
              <w:br/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10300863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10701000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r>
              <w:rPr>
                <w:color w:val="000000"/>
              </w:rPr>
              <w:t>министерство социальной защиты населения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center"/>
            </w:pPr>
            <w:r>
              <w:rPr>
                <w:color w:val="000000"/>
              </w:rPr>
              <w:t>10200411</w:t>
            </w: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0C67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  <w:jc w:val="center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Периодичность: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r>
              <w:rPr>
                <w:color w:val="000000"/>
              </w:rPr>
              <w:t>Месячная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right"/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</w:tr>
      <w:tr w:rsidR="00995791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sectPr w:rsidR="00995791">
          <w:headerReference w:type="default" r:id="rId25"/>
          <w:footerReference w:type="default" r:id="rId26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4317" w:type="dxa"/>
        <w:tblLayout w:type="fixed"/>
        <w:tblLook w:val="01E0" w:firstRow="1" w:lastRow="1" w:firstColumn="1" w:lastColumn="1" w:noHBand="0" w:noVBand="0"/>
      </w:tblPr>
      <w:tblGrid>
        <w:gridCol w:w="2267"/>
        <w:gridCol w:w="850"/>
        <w:gridCol w:w="3401"/>
        <w:gridCol w:w="1559"/>
        <w:gridCol w:w="1133"/>
        <w:gridCol w:w="850"/>
        <w:gridCol w:w="1488"/>
        <w:gridCol w:w="1488"/>
        <w:gridCol w:w="1281"/>
      </w:tblGrid>
      <w:tr w:rsidR="00995791">
        <w:trPr>
          <w:trHeight w:val="230"/>
        </w:trPr>
        <w:tc>
          <w:tcPr>
            <w:tcW w:w="31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Направление расходов 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предоставления Иного межбюджетного трансферта</w:t>
            </w:r>
          </w:p>
        </w:tc>
        <w:tc>
          <w:tcPr>
            <w:tcW w:w="26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результата</w:t>
            </w: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Причина</w:t>
            </w:r>
            <w:r>
              <w:rPr>
                <w:color w:val="000000"/>
              </w:rPr>
              <w:br/>
              <w:t>отклонения</w:t>
            </w:r>
            <w:r>
              <w:rPr>
                <w:color w:val="000000"/>
              </w:rPr>
              <w:br/>
            </w:r>
          </w:p>
        </w:tc>
      </w:tr>
      <w:tr w:rsidR="00995791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по БК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по ОКЕИ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Плановое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Фактическое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995791"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995791" w:rsidRDefault="00995791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2267"/>
        <w:gridCol w:w="1133"/>
        <w:gridCol w:w="5727"/>
        <w:gridCol w:w="850"/>
        <w:gridCol w:w="5728"/>
      </w:tblGrid>
      <w:tr w:rsidR="00995791">
        <w:tc>
          <w:tcPr>
            <w:tcW w:w="34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(уполномоченное лицо)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995791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(фамилия, инициалы)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0C67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(телефон)</w:t>
            </w:r>
          </w:p>
        </w:tc>
      </w:tr>
      <w:tr w:rsidR="00995791">
        <w:tc>
          <w:tcPr>
            <w:tcW w:w="34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0C678F">
            <w:pPr>
              <w:rPr>
                <w:color w:val="000000"/>
              </w:rPr>
            </w:pPr>
            <w:r>
              <w:rPr>
                <w:color w:val="000000"/>
              </w:rPr>
              <w:t>«____» ____________ 20__ г.</w:t>
            </w: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  <w:tr w:rsidR="00995791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5791" w:rsidRDefault="00995791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791" w:rsidRDefault="00995791">
            <w:pPr>
              <w:spacing w:line="1" w:lineRule="auto"/>
            </w:pPr>
          </w:p>
        </w:tc>
      </w:tr>
    </w:tbl>
    <w:p w:rsidR="00000000" w:rsidRDefault="000C678F"/>
    <w:sectPr w:rsidR="00000000" w:rsidSect="00995791">
      <w:headerReference w:type="default" r:id="rId27"/>
      <w:footerReference w:type="default" r:id="rId28"/>
      <w:pgSz w:w="16837" w:h="11905" w:orient="landscape"/>
      <w:pgMar w:top="1700" w:right="566" w:bottom="850" w:left="566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91" w:rsidRDefault="00995791" w:rsidP="00995791">
      <w:r>
        <w:separator/>
      </w:r>
    </w:p>
  </w:endnote>
  <w:endnote w:type="continuationSeparator" w:id="0">
    <w:p w:rsidR="00995791" w:rsidRDefault="00995791" w:rsidP="0099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95791">
      <w:tc>
        <w:tcPr>
          <w:tcW w:w="10704" w:type="dxa"/>
        </w:tcPr>
        <w:p w:rsidR="00995791" w:rsidRDefault="00995791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c>
        <w:tcPr>
          <w:tcW w:w="15920" w:type="dxa"/>
        </w:tcPr>
        <w:p w:rsidR="00995791" w:rsidRDefault="0099579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91" w:rsidRDefault="00995791" w:rsidP="00995791">
      <w:r>
        <w:separator/>
      </w:r>
    </w:p>
  </w:footnote>
  <w:footnote w:type="continuationSeparator" w:id="0">
    <w:p w:rsidR="00995791" w:rsidRDefault="00995791" w:rsidP="00995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95791">
      <w:trPr>
        <w:trHeight w:val="283"/>
      </w:trPr>
      <w:tc>
        <w:tcPr>
          <w:tcW w:w="10704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6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17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18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9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10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11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12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13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14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15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95791">
      <w:trPr>
        <w:trHeight w:val="720"/>
      </w:trPr>
      <w:tc>
        <w:tcPr>
          <w:tcW w:w="15920" w:type="dxa"/>
        </w:tcPr>
        <w:p w:rsidR="00995791" w:rsidRDefault="009957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C678F">
            <w:rPr>
              <w:color w:val="000000"/>
              <w:sz w:val="24"/>
              <w:szCs w:val="24"/>
            </w:rPr>
            <w:instrText>PAGE</w:instrText>
          </w:r>
          <w:r w:rsidR="000C678F">
            <w:fldChar w:fldCharType="separate"/>
          </w:r>
          <w:r w:rsidR="000C678F">
            <w:rPr>
              <w:noProof/>
              <w:color w:val="000000"/>
              <w:sz w:val="24"/>
              <w:szCs w:val="24"/>
            </w:rPr>
            <w:t>16</w:t>
          </w:r>
          <w:r>
            <w:fldChar w:fldCharType="end"/>
          </w:r>
        </w:p>
        <w:p w:rsidR="00995791" w:rsidRDefault="0099579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91"/>
    <w:rsid w:val="000C678F"/>
    <w:rsid w:val="0099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957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957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4314</Words>
  <Characters>24592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Заволожина Юлия Васильевна</dc:creator>
  <cp:lastModifiedBy>Заволожина Юлия Васильевна</cp:lastModifiedBy>
  <cp:revision>2</cp:revision>
  <dcterms:created xsi:type="dcterms:W3CDTF">2025-03-13T08:10:00Z</dcterms:created>
  <dcterms:modified xsi:type="dcterms:W3CDTF">2025-03-13T08:10:00Z</dcterms:modified>
</cp:coreProperties>
</file>